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BCD" w:rsidRPr="007A6274" w:rsidRDefault="00CF6BCD" w:rsidP="00CF6BCD">
      <w:pPr>
        <w:pStyle w:val="Ttulo1"/>
        <w:ind w:firstLine="708"/>
        <w:jc w:val="both"/>
        <w:rPr>
          <w:rFonts w:ascii="Calibri" w:hAnsi="Calibri" w:cs="Calibri"/>
          <w:b w:val="0"/>
          <w:i w:val="0"/>
          <w:color w:val="7F7F7F" w:themeColor="text1" w:themeTint="80"/>
          <w:sz w:val="26"/>
          <w:szCs w:val="26"/>
        </w:rPr>
      </w:pPr>
      <w:bookmarkStart w:id="0" w:name="_GoBack"/>
      <w:bookmarkEnd w:id="0"/>
      <w:r w:rsidRPr="007A6274">
        <w:rPr>
          <w:rFonts w:ascii="Calibri" w:hAnsi="Calibri" w:cs="Calibri"/>
          <w:i w:val="0"/>
          <w:color w:val="7F7F7F" w:themeColor="text1" w:themeTint="80"/>
          <w:sz w:val="26"/>
          <w:szCs w:val="26"/>
        </w:rPr>
        <w:t xml:space="preserve">León, Guanajuato, a </w:t>
      </w:r>
      <w:r w:rsidR="001B4FC3">
        <w:rPr>
          <w:rFonts w:ascii="Calibri" w:hAnsi="Calibri" w:cs="Calibri"/>
          <w:i w:val="0"/>
          <w:color w:val="7F7F7F" w:themeColor="text1" w:themeTint="80"/>
          <w:sz w:val="26"/>
          <w:szCs w:val="26"/>
        </w:rPr>
        <w:t>22v</w:t>
      </w:r>
      <w:r w:rsidR="00BA28CA">
        <w:rPr>
          <w:rFonts w:ascii="Calibri" w:hAnsi="Calibri" w:cs="Calibri"/>
          <w:i w:val="0"/>
          <w:color w:val="7F7F7F" w:themeColor="text1" w:themeTint="80"/>
          <w:sz w:val="26"/>
          <w:szCs w:val="26"/>
        </w:rPr>
        <w:t>ein</w:t>
      </w:r>
      <w:r w:rsidR="001B4FC3">
        <w:rPr>
          <w:rFonts w:ascii="Calibri" w:hAnsi="Calibri" w:cs="Calibri"/>
          <w:i w:val="0"/>
          <w:color w:val="7F7F7F" w:themeColor="text1" w:themeTint="80"/>
          <w:sz w:val="26"/>
          <w:szCs w:val="26"/>
        </w:rPr>
        <w:t>tidós</w:t>
      </w:r>
      <w:r w:rsidR="00BA28CA">
        <w:rPr>
          <w:rFonts w:ascii="Calibri" w:hAnsi="Calibri" w:cs="Calibri"/>
          <w:i w:val="0"/>
          <w:color w:val="7F7F7F" w:themeColor="text1" w:themeTint="80"/>
          <w:sz w:val="26"/>
          <w:szCs w:val="26"/>
        </w:rPr>
        <w:t xml:space="preserve"> de febrero</w:t>
      </w:r>
      <w:r w:rsidRPr="007A6274">
        <w:rPr>
          <w:rFonts w:ascii="Calibri" w:hAnsi="Calibri" w:cs="Calibri"/>
          <w:i w:val="0"/>
          <w:color w:val="7F7F7F" w:themeColor="text1" w:themeTint="80"/>
          <w:sz w:val="26"/>
          <w:szCs w:val="26"/>
        </w:rPr>
        <w:t xml:space="preserve"> del año 201</w:t>
      </w:r>
      <w:r w:rsidR="00BA28CA">
        <w:rPr>
          <w:rFonts w:ascii="Calibri" w:hAnsi="Calibri" w:cs="Calibri"/>
          <w:i w:val="0"/>
          <w:color w:val="7F7F7F" w:themeColor="text1" w:themeTint="80"/>
          <w:sz w:val="26"/>
          <w:szCs w:val="26"/>
        </w:rPr>
        <w:t>6</w:t>
      </w:r>
      <w:r w:rsidRPr="007A6274">
        <w:rPr>
          <w:rFonts w:ascii="Calibri" w:hAnsi="Calibri" w:cs="Calibri"/>
          <w:i w:val="0"/>
          <w:color w:val="7F7F7F" w:themeColor="text1" w:themeTint="80"/>
          <w:sz w:val="26"/>
          <w:szCs w:val="26"/>
        </w:rPr>
        <w:t xml:space="preserve"> dos mil </w:t>
      </w:r>
      <w:r w:rsidR="00BA28CA">
        <w:rPr>
          <w:rFonts w:ascii="Calibri" w:hAnsi="Calibri" w:cs="Calibri"/>
          <w:i w:val="0"/>
          <w:color w:val="7F7F7F" w:themeColor="text1" w:themeTint="80"/>
          <w:sz w:val="26"/>
          <w:szCs w:val="26"/>
        </w:rPr>
        <w:t>dieciséis</w:t>
      </w:r>
      <w:r w:rsidRPr="007A6274">
        <w:rPr>
          <w:rFonts w:ascii="Calibri" w:hAnsi="Calibri" w:cs="Calibri"/>
          <w:b w:val="0"/>
          <w:i w:val="0"/>
          <w:color w:val="7F7F7F" w:themeColor="text1" w:themeTint="80"/>
          <w:sz w:val="26"/>
          <w:szCs w:val="26"/>
        </w:rPr>
        <w:t xml:space="preserve">. </w:t>
      </w:r>
      <w:r>
        <w:rPr>
          <w:rFonts w:ascii="Calibri" w:hAnsi="Calibri" w:cs="Calibri"/>
          <w:b w:val="0"/>
          <w:i w:val="0"/>
          <w:color w:val="7F7F7F" w:themeColor="text1" w:themeTint="80"/>
          <w:sz w:val="26"/>
          <w:szCs w:val="26"/>
        </w:rPr>
        <w:t xml:space="preserve">. </w:t>
      </w:r>
      <w:r w:rsidR="007B622D">
        <w:rPr>
          <w:rFonts w:ascii="Calibri" w:hAnsi="Calibri" w:cs="Calibri"/>
          <w:b w:val="0"/>
          <w:i w:val="0"/>
          <w:color w:val="7F7F7F" w:themeColor="text1" w:themeTint="80"/>
          <w:sz w:val="26"/>
          <w:szCs w:val="26"/>
        </w:rPr>
        <w:t xml:space="preserve">. . . . . . . . . . . . . . . . . . . . . . . . . . . . . . . . . . . . . . . . . . . . . . . . . . . . . . . . . . . . </w:t>
      </w:r>
    </w:p>
    <w:p w:rsidR="00CF6BCD" w:rsidRPr="007A6274" w:rsidRDefault="00CF6BCD" w:rsidP="00CF6BCD">
      <w:pPr>
        <w:rPr>
          <w:rFonts w:ascii="Calibri" w:hAnsi="Calibri" w:cs="Calibri"/>
          <w:color w:val="7F7F7F" w:themeColor="text1" w:themeTint="80"/>
          <w:sz w:val="26"/>
          <w:szCs w:val="26"/>
          <w:lang w:val="es-MX"/>
        </w:rPr>
      </w:pPr>
    </w:p>
    <w:p w:rsidR="00CF6BCD" w:rsidRPr="007A6274" w:rsidRDefault="00CF6BCD" w:rsidP="00CF6BCD">
      <w:pPr>
        <w:pStyle w:val="Textoindependiente"/>
        <w:ind w:firstLine="708"/>
        <w:rPr>
          <w:rFonts w:ascii="Calibri" w:hAnsi="Calibri" w:cs="Calibri"/>
          <w:color w:val="7F7F7F" w:themeColor="text1" w:themeTint="80"/>
          <w:sz w:val="26"/>
          <w:szCs w:val="26"/>
        </w:rPr>
      </w:pPr>
      <w:r w:rsidRPr="007A6274">
        <w:rPr>
          <w:rFonts w:ascii="Calibri" w:hAnsi="Calibri" w:cs="Calibri"/>
          <w:b/>
          <w:bCs/>
          <w:i/>
          <w:iCs/>
          <w:color w:val="7F7F7F" w:themeColor="text1" w:themeTint="80"/>
          <w:sz w:val="26"/>
          <w:szCs w:val="26"/>
          <w:lang w:val="es-ES"/>
        </w:rPr>
        <w:t>V I S T O S</w:t>
      </w:r>
      <w:r w:rsidRPr="007A6274">
        <w:rPr>
          <w:rFonts w:ascii="Calibri" w:hAnsi="Calibri" w:cs="Calibri"/>
          <w:bCs/>
          <w:iCs/>
          <w:color w:val="7F7F7F" w:themeColor="text1" w:themeTint="80"/>
          <w:sz w:val="26"/>
          <w:szCs w:val="26"/>
          <w:lang w:val="es-ES"/>
        </w:rPr>
        <w:t xml:space="preserve">, </w:t>
      </w:r>
      <w:r w:rsidRPr="007A6274">
        <w:rPr>
          <w:rFonts w:ascii="Calibri" w:hAnsi="Calibri" w:cs="Calibri"/>
          <w:bCs/>
          <w:iCs/>
          <w:color w:val="7F7F7F" w:themeColor="text1" w:themeTint="80"/>
          <w:sz w:val="26"/>
          <w:szCs w:val="26"/>
        </w:rPr>
        <w:t>para dictar sentencia definitiva,</w:t>
      </w:r>
      <w:r w:rsidRPr="007A6274">
        <w:rPr>
          <w:rFonts w:ascii="Calibri" w:hAnsi="Calibri" w:cs="Calibri"/>
          <w:color w:val="7F7F7F" w:themeColor="text1" w:themeTint="80"/>
          <w:sz w:val="26"/>
          <w:szCs w:val="26"/>
        </w:rPr>
        <w:t xml:space="preserve"> los autos del proceso administrativo identificado con el número </w:t>
      </w:r>
      <w:r w:rsidR="00BA28CA">
        <w:rPr>
          <w:rFonts w:ascii="Calibri" w:hAnsi="Calibri" w:cs="Calibri"/>
          <w:b/>
          <w:color w:val="7F7F7F" w:themeColor="text1" w:themeTint="80"/>
          <w:sz w:val="26"/>
          <w:szCs w:val="26"/>
        </w:rPr>
        <w:t>1016/2015-JN</w:t>
      </w:r>
      <w:r w:rsidRPr="007A6274">
        <w:rPr>
          <w:rFonts w:ascii="Calibri" w:hAnsi="Calibri" w:cs="Calibri"/>
          <w:color w:val="7F7F7F" w:themeColor="text1" w:themeTint="80"/>
          <w:sz w:val="26"/>
          <w:szCs w:val="26"/>
        </w:rPr>
        <w:t xml:space="preserve">, promovido por el ciudadano </w:t>
      </w:r>
      <w:r w:rsidR="008E41CB">
        <w:rPr>
          <w:rFonts w:ascii="Calibri" w:hAnsi="Calibri" w:cs="Calibri"/>
          <w:b/>
          <w:color w:val="7F7F7F" w:themeColor="text1" w:themeTint="80"/>
          <w:sz w:val="26"/>
          <w:szCs w:val="26"/>
        </w:rPr>
        <w:t>*****</w:t>
      </w:r>
      <w:r w:rsidR="00E670D1">
        <w:rPr>
          <w:rFonts w:ascii="Calibri" w:hAnsi="Calibri" w:cs="Calibri"/>
          <w:b/>
          <w:color w:val="7F7F7F" w:themeColor="text1" w:themeTint="80"/>
          <w:sz w:val="26"/>
          <w:szCs w:val="26"/>
        </w:rPr>
        <w:t>;</w:t>
      </w:r>
      <w:r w:rsidRPr="007A6274">
        <w:rPr>
          <w:rFonts w:ascii="Calibri" w:hAnsi="Calibri" w:cs="Calibri"/>
          <w:color w:val="7F7F7F" w:themeColor="text1" w:themeTint="80"/>
          <w:sz w:val="26"/>
          <w:szCs w:val="26"/>
        </w:rPr>
        <w:t xml:space="preserve"> y,. . . . . . . . . . . . . . . . . . </w:t>
      </w:r>
      <w:r>
        <w:rPr>
          <w:rFonts w:ascii="Calibri" w:hAnsi="Calibri" w:cs="Calibri"/>
          <w:color w:val="7F7F7F" w:themeColor="text1" w:themeTint="80"/>
          <w:sz w:val="26"/>
          <w:szCs w:val="26"/>
        </w:rPr>
        <w:t xml:space="preserve">. . . . . . . . . . . . </w:t>
      </w:r>
      <w:r w:rsidR="007B622D">
        <w:rPr>
          <w:rFonts w:ascii="Calibri" w:hAnsi="Calibri" w:cs="Calibri"/>
          <w:color w:val="7F7F7F" w:themeColor="text1" w:themeTint="80"/>
          <w:sz w:val="26"/>
          <w:szCs w:val="26"/>
        </w:rPr>
        <w:t xml:space="preserve">. </w:t>
      </w:r>
    </w:p>
    <w:p w:rsidR="00CF6BCD" w:rsidRPr="007A6274" w:rsidRDefault="00CF6BCD" w:rsidP="00CF6BCD">
      <w:pPr>
        <w:pStyle w:val="Textoindependiente"/>
        <w:rPr>
          <w:rFonts w:ascii="Calibri" w:hAnsi="Calibri" w:cs="Calibri"/>
          <w:color w:val="7F7F7F" w:themeColor="text1" w:themeTint="80"/>
          <w:sz w:val="26"/>
          <w:szCs w:val="26"/>
        </w:rPr>
      </w:pPr>
    </w:p>
    <w:p w:rsidR="00CF6BCD" w:rsidRPr="007A6274" w:rsidRDefault="00CF6BCD" w:rsidP="00CF6BCD">
      <w:pPr>
        <w:pStyle w:val="Textoindependiente"/>
        <w:rPr>
          <w:rFonts w:ascii="Calibri" w:hAnsi="Calibri" w:cs="Calibri"/>
          <w:color w:val="7F7F7F" w:themeColor="text1" w:themeTint="80"/>
          <w:sz w:val="26"/>
          <w:szCs w:val="26"/>
        </w:rPr>
      </w:pPr>
    </w:p>
    <w:p w:rsidR="00CF6BCD" w:rsidRPr="007A6274" w:rsidRDefault="00CF6BCD" w:rsidP="00CF6BCD">
      <w:pPr>
        <w:pStyle w:val="Textoindependiente"/>
        <w:ind w:firstLine="708"/>
        <w:jc w:val="center"/>
        <w:rPr>
          <w:rFonts w:ascii="Calibri" w:hAnsi="Calibri" w:cs="Calibri"/>
          <w:b/>
          <w:bCs/>
          <w:i/>
          <w:iCs/>
          <w:color w:val="7F7F7F" w:themeColor="text1" w:themeTint="80"/>
          <w:sz w:val="26"/>
          <w:szCs w:val="26"/>
        </w:rPr>
      </w:pPr>
      <w:r w:rsidRPr="007A6274">
        <w:rPr>
          <w:rFonts w:ascii="Calibri" w:hAnsi="Calibri" w:cs="Calibri"/>
          <w:b/>
          <w:bCs/>
          <w:i/>
          <w:iCs/>
          <w:color w:val="7F7F7F" w:themeColor="text1" w:themeTint="80"/>
          <w:sz w:val="26"/>
          <w:szCs w:val="26"/>
        </w:rPr>
        <w:t>C O N S I D E R A N D O :</w:t>
      </w:r>
    </w:p>
    <w:p w:rsidR="00CF6BCD" w:rsidRPr="007A6274" w:rsidRDefault="00CF6BCD" w:rsidP="00CF6BCD">
      <w:pPr>
        <w:pStyle w:val="Textoindependiente"/>
        <w:ind w:firstLine="708"/>
        <w:jc w:val="center"/>
        <w:rPr>
          <w:rFonts w:ascii="Calibri" w:hAnsi="Calibri" w:cs="Calibri"/>
          <w:b/>
          <w:bCs/>
          <w:color w:val="7F7F7F" w:themeColor="text1" w:themeTint="80"/>
          <w:sz w:val="26"/>
          <w:szCs w:val="26"/>
        </w:rPr>
      </w:pPr>
    </w:p>
    <w:p w:rsidR="00CF6BCD" w:rsidRPr="007A6274" w:rsidRDefault="00CF6BCD" w:rsidP="00CF6BCD">
      <w:pPr>
        <w:pStyle w:val="Textoindependiente"/>
        <w:rPr>
          <w:rFonts w:ascii="Calibri" w:hAnsi="Calibri" w:cs="Calibri"/>
          <w:b/>
          <w:bCs/>
          <w:color w:val="7F7F7F" w:themeColor="text1" w:themeTint="80"/>
          <w:sz w:val="26"/>
          <w:szCs w:val="26"/>
        </w:rPr>
      </w:pPr>
    </w:p>
    <w:p w:rsidR="00CF6BCD" w:rsidRPr="007A6274" w:rsidRDefault="00CF6BCD" w:rsidP="00CF6BCD">
      <w:pPr>
        <w:pStyle w:val="Textoindependiente"/>
        <w:ind w:firstLine="708"/>
        <w:rPr>
          <w:rFonts w:ascii="Calibri" w:hAnsi="Calibri" w:cs="Calibri"/>
          <w:color w:val="7F7F7F" w:themeColor="text1" w:themeTint="80"/>
          <w:sz w:val="26"/>
          <w:szCs w:val="26"/>
        </w:rPr>
      </w:pPr>
      <w:r w:rsidRPr="007A6274">
        <w:rPr>
          <w:rFonts w:ascii="Calibri" w:hAnsi="Calibri" w:cs="Calibri"/>
          <w:b/>
          <w:bCs/>
          <w:i/>
          <w:iCs/>
          <w:color w:val="7F7F7F" w:themeColor="text1" w:themeTint="80"/>
          <w:sz w:val="26"/>
          <w:szCs w:val="26"/>
        </w:rPr>
        <w:t>SEGUNDO</w:t>
      </w:r>
      <w:r w:rsidRPr="007A6274">
        <w:rPr>
          <w:rFonts w:ascii="Calibri" w:hAnsi="Calibri" w:cs="Calibri"/>
          <w:b/>
          <w:bCs/>
          <w:color w:val="7F7F7F" w:themeColor="text1" w:themeTint="80"/>
          <w:sz w:val="26"/>
          <w:szCs w:val="26"/>
        </w:rPr>
        <w:t xml:space="preserve">.- </w:t>
      </w:r>
      <w:r w:rsidRPr="007A6274">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w:t>
      </w:r>
      <w:r w:rsidR="00E670D1">
        <w:rPr>
          <w:rFonts w:ascii="Calibri" w:hAnsi="Calibri" w:cs="Calibri"/>
          <w:color w:val="7F7F7F" w:themeColor="text1" w:themeTint="80"/>
          <w:sz w:val="26"/>
          <w:szCs w:val="26"/>
        </w:rPr>
        <w:t>de la emisión del</w:t>
      </w:r>
      <w:r w:rsidRPr="007A6274">
        <w:rPr>
          <w:rFonts w:ascii="Calibri" w:hAnsi="Calibri" w:cs="Calibri"/>
          <w:color w:val="7F7F7F" w:themeColor="text1" w:themeTint="80"/>
          <w:sz w:val="26"/>
          <w:szCs w:val="26"/>
        </w:rPr>
        <w:t xml:space="preserve"> acta de infracción impugnada, que fue el </w:t>
      </w:r>
      <w:r>
        <w:rPr>
          <w:rFonts w:ascii="Calibri" w:hAnsi="Calibri" w:cs="Calibri"/>
          <w:color w:val="7F7F7F" w:themeColor="text1" w:themeTint="80"/>
          <w:sz w:val="26"/>
          <w:szCs w:val="26"/>
        </w:rPr>
        <w:t xml:space="preserve">día </w:t>
      </w:r>
      <w:r w:rsidR="00E670D1">
        <w:rPr>
          <w:rFonts w:ascii="Calibri" w:hAnsi="Calibri" w:cs="Calibri"/>
          <w:color w:val="7F7F7F" w:themeColor="text1" w:themeTint="80"/>
          <w:sz w:val="26"/>
          <w:szCs w:val="26"/>
        </w:rPr>
        <w:t>2 dos de noviembre</w:t>
      </w:r>
      <w:r w:rsidRPr="007A6274">
        <w:rPr>
          <w:rFonts w:ascii="Calibri" w:hAnsi="Calibri" w:cs="Calibri"/>
          <w:color w:val="7F7F7F" w:themeColor="text1" w:themeTint="80"/>
          <w:sz w:val="26"/>
          <w:szCs w:val="26"/>
        </w:rPr>
        <w:t xml:space="preserve"> del </w:t>
      </w:r>
      <w:r w:rsidR="00E670D1">
        <w:rPr>
          <w:rFonts w:ascii="Calibri" w:hAnsi="Calibri" w:cs="Calibri"/>
          <w:color w:val="7F7F7F" w:themeColor="text1" w:themeTint="80"/>
          <w:sz w:val="26"/>
          <w:szCs w:val="26"/>
        </w:rPr>
        <w:t>año próximo pasado</w:t>
      </w:r>
      <w:r>
        <w:rPr>
          <w:rFonts w:ascii="Calibri" w:hAnsi="Calibri" w:cs="Calibri"/>
          <w:color w:val="7F7F7F" w:themeColor="text1" w:themeTint="80"/>
          <w:sz w:val="26"/>
          <w:szCs w:val="26"/>
        </w:rPr>
        <w:t xml:space="preserve">. . . . . . . . . </w:t>
      </w:r>
    </w:p>
    <w:p w:rsidR="00CF6BCD" w:rsidRPr="007A6274" w:rsidRDefault="00CF6BCD" w:rsidP="00CF6BCD">
      <w:pPr>
        <w:pStyle w:val="Textoindependiente"/>
        <w:ind w:firstLine="708"/>
        <w:rPr>
          <w:rFonts w:ascii="Calibri" w:hAnsi="Calibri" w:cs="Calibri"/>
          <w:b/>
          <w:bCs/>
          <w:color w:val="7F7F7F" w:themeColor="text1" w:themeTint="80"/>
          <w:sz w:val="26"/>
          <w:szCs w:val="26"/>
        </w:rPr>
      </w:pPr>
    </w:p>
    <w:p w:rsidR="00CF6BCD" w:rsidRPr="007A6274" w:rsidRDefault="00CF6BCD" w:rsidP="00CF6BCD">
      <w:pPr>
        <w:ind w:firstLine="708"/>
        <w:jc w:val="both"/>
        <w:rPr>
          <w:rFonts w:ascii="Calibri" w:hAnsi="Calibri" w:cs="Calibri"/>
          <w:color w:val="7F7F7F" w:themeColor="text1" w:themeTint="80"/>
          <w:sz w:val="26"/>
          <w:szCs w:val="26"/>
        </w:rPr>
      </w:pPr>
      <w:r w:rsidRPr="007A6274">
        <w:rPr>
          <w:rFonts w:ascii="Calibri" w:hAnsi="Calibri" w:cs="Calibri"/>
          <w:b/>
          <w:i/>
          <w:iCs/>
          <w:color w:val="7F7F7F" w:themeColor="text1" w:themeTint="80"/>
          <w:sz w:val="26"/>
          <w:szCs w:val="26"/>
        </w:rPr>
        <w:t xml:space="preserve">TERCERO.- </w:t>
      </w:r>
      <w:r w:rsidRPr="007A6274">
        <w:rPr>
          <w:rFonts w:ascii="Calibri" w:hAnsi="Calibri" w:cs="Calibri"/>
          <w:color w:val="7F7F7F" w:themeColor="text1" w:themeTint="80"/>
          <w:sz w:val="26"/>
          <w:szCs w:val="26"/>
        </w:rPr>
        <w:t>La existencia del acto impugnado, se encuentra documentada en autos con el original del acta con folio número</w:t>
      </w:r>
      <w:r w:rsidR="00E670D1">
        <w:rPr>
          <w:rFonts w:ascii="Calibri" w:hAnsi="Calibri" w:cs="Calibri"/>
          <w:color w:val="7F7F7F" w:themeColor="text1" w:themeTint="80"/>
          <w:sz w:val="26"/>
          <w:szCs w:val="26"/>
        </w:rPr>
        <w:t>T-5353627 (T guion cinco-tres-cinco-tres-seis-dos-siete)</w:t>
      </w:r>
      <w:r w:rsidR="0066127F">
        <w:rPr>
          <w:rFonts w:ascii="Calibri" w:hAnsi="Calibri" w:cs="Calibri"/>
          <w:color w:val="7F7F7F" w:themeColor="text1" w:themeTint="80"/>
          <w:sz w:val="26"/>
          <w:szCs w:val="26"/>
        </w:rPr>
        <w:t xml:space="preserve">, de fecha </w:t>
      </w:r>
      <w:r w:rsidR="00E670D1">
        <w:rPr>
          <w:rFonts w:ascii="Calibri" w:hAnsi="Calibri" w:cs="Calibri"/>
          <w:color w:val="7F7F7F" w:themeColor="text1" w:themeTint="80"/>
          <w:sz w:val="26"/>
          <w:szCs w:val="26"/>
        </w:rPr>
        <w:t>2 dos de noviembre</w:t>
      </w:r>
      <w:r w:rsidR="0066127F">
        <w:rPr>
          <w:rFonts w:ascii="Calibri" w:hAnsi="Calibri" w:cs="Calibri"/>
          <w:color w:val="7F7F7F" w:themeColor="text1" w:themeTint="80"/>
          <w:sz w:val="26"/>
          <w:szCs w:val="26"/>
        </w:rPr>
        <w:t xml:space="preserve"> del año 2015 dos mil quince</w:t>
      </w:r>
      <w:r w:rsidRPr="007A6274">
        <w:rPr>
          <w:rFonts w:ascii="Calibri" w:hAnsi="Calibri"/>
          <w:color w:val="7F7F7F" w:themeColor="text1" w:themeTint="80"/>
          <w:sz w:val="26"/>
          <w:szCs w:val="27"/>
        </w:rPr>
        <w:t xml:space="preserve">; </w:t>
      </w:r>
      <w:r w:rsidRPr="007A6274">
        <w:rPr>
          <w:rFonts w:ascii="Calibri" w:hAnsi="Calibri"/>
          <w:color w:val="7F7F7F" w:themeColor="text1" w:themeTint="80"/>
          <w:sz w:val="26"/>
          <w:szCs w:val="26"/>
        </w:rPr>
        <w:t xml:space="preserve">que obra en el secreto de este juzgado (visible en el expediente en copia certificada a foja </w:t>
      </w:r>
      <w:r w:rsidR="006E6536">
        <w:rPr>
          <w:rFonts w:ascii="Calibri" w:hAnsi="Calibri"/>
          <w:color w:val="7F7F7F" w:themeColor="text1" w:themeTint="80"/>
          <w:sz w:val="26"/>
          <w:szCs w:val="26"/>
        </w:rPr>
        <w:t>4 cuatro</w:t>
      </w:r>
      <w:r w:rsidRPr="007A6274">
        <w:rPr>
          <w:rFonts w:ascii="Calibri" w:hAnsi="Calibri"/>
          <w:color w:val="7F7F7F" w:themeColor="text1" w:themeTint="80"/>
          <w:sz w:val="26"/>
          <w:szCs w:val="26"/>
        </w:rPr>
        <w:t>)</w:t>
      </w:r>
      <w:r w:rsidRPr="007A6274">
        <w:rPr>
          <w:rFonts w:ascii="Calibri" w:hAnsi="Calibri" w:cs="Calibri"/>
          <w:color w:val="7F7F7F" w:themeColor="text1" w:themeTint="80"/>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contestar la demanda, reconoció haber </w:t>
      </w:r>
      <w:r w:rsidR="00692819" w:rsidRPr="00E670D1">
        <w:rPr>
          <w:rFonts w:ascii="Calibri" w:hAnsi="Calibri" w:cs="Calibri"/>
          <w:color w:val="7F7F7F" w:themeColor="text1" w:themeTint="80"/>
          <w:sz w:val="26"/>
          <w:szCs w:val="26"/>
        </w:rPr>
        <w:t>elaborado</w:t>
      </w:r>
      <w:r w:rsidRPr="007A6274">
        <w:rPr>
          <w:rFonts w:ascii="Calibri" w:hAnsi="Calibri" w:cs="Calibri"/>
          <w:color w:val="7F7F7F" w:themeColor="text1" w:themeTint="80"/>
          <w:sz w:val="26"/>
          <w:szCs w:val="26"/>
        </w:rPr>
        <w:t xml:space="preserve"> el </w:t>
      </w:r>
      <w:r w:rsidR="002517E9">
        <w:rPr>
          <w:rFonts w:ascii="Calibri" w:hAnsi="Calibri" w:cs="Calibri"/>
          <w:color w:val="7F7F7F" w:themeColor="text1" w:themeTint="80"/>
          <w:sz w:val="26"/>
          <w:szCs w:val="26"/>
        </w:rPr>
        <w:t>a</w:t>
      </w:r>
      <w:r w:rsidRPr="007A6274">
        <w:rPr>
          <w:rFonts w:ascii="Calibri" w:hAnsi="Calibri" w:cs="Calibri"/>
          <w:color w:val="7F7F7F" w:themeColor="text1" w:themeTint="80"/>
          <w:sz w:val="26"/>
          <w:szCs w:val="26"/>
        </w:rPr>
        <w:t>cta impugnada . . . . . . . . . .</w:t>
      </w:r>
    </w:p>
    <w:p w:rsidR="00CF6BCD" w:rsidRPr="007A6274" w:rsidRDefault="00CF6BCD" w:rsidP="00CF6BCD">
      <w:pPr>
        <w:jc w:val="right"/>
        <w:rPr>
          <w:rFonts w:ascii="Calibri" w:hAnsi="Calibri"/>
          <w:b/>
          <w:color w:val="7F7F7F" w:themeColor="text1" w:themeTint="80"/>
          <w:sz w:val="26"/>
          <w:szCs w:val="27"/>
        </w:rPr>
      </w:pPr>
    </w:p>
    <w:p w:rsidR="00CF6BCD" w:rsidRPr="007A6274" w:rsidRDefault="00CF6BCD" w:rsidP="00CF6BCD">
      <w:pPr>
        <w:ind w:firstLine="708"/>
        <w:jc w:val="both"/>
        <w:rPr>
          <w:rFonts w:ascii="Calibri" w:hAnsi="Calibri"/>
          <w:color w:val="7F7F7F" w:themeColor="text1" w:themeTint="80"/>
          <w:sz w:val="26"/>
          <w:szCs w:val="26"/>
        </w:rPr>
      </w:pPr>
      <w:r w:rsidRPr="007A6274">
        <w:rPr>
          <w:rFonts w:ascii="Calibri" w:hAnsi="Calibri"/>
          <w:color w:val="7F7F7F" w:themeColor="text1" w:themeTint="80"/>
          <w:sz w:val="26"/>
          <w:szCs w:val="27"/>
        </w:rPr>
        <w:t xml:space="preserve">En razón de lo anterior, se tiene por </w:t>
      </w:r>
      <w:r w:rsidRPr="007A6274">
        <w:rPr>
          <w:rFonts w:ascii="Calibri" w:hAnsi="Calibri"/>
          <w:b/>
          <w:color w:val="7F7F7F" w:themeColor="text1" w:themeTint="80"/>
          <w:sz w:val="26"/>
          <w:szCs w:val="27"/>
        </w:rPr>
        <w:t>debidamente acreditada</w:t>
      </w:r>
      <w:r w:rsidRPr="007A6274">
        <w:rPr>
          <w:rFonts w:ascii="Calibri" w:hAnsi="Calibri"/>
          <w:color w:val="7F7F7F" w:themeColor="text1" w:themeTint="80"/>
          <w:sz w:val="26"/>
          <w:szCs w:val="27"/>
        </w:rPr>
        <w:t xml:space="preserve"> la existencia del acto impugnado</w:t>
      </w:r>
      <w:r w:rsidRPr="007A6274">
        <w:rPr>
          <w:rFonts w:ascii="Calibri" w:hAnsi="Calibri"/>
          <w:color w:val="7F7F7F" w:themeColor="text1" w:themeTint="80"/>
          <w:sz w:val="26"/>
          <w:szCs w:val="26"/>
        </w:rPr>
        <w:t xml:space="preserve">. . . . . . . . . . . . . . . . . . . . . . . . . . . . . . . . . . . . . . . . . . . . . . . . . . . . </w:t>
      </w:r>
    </w:p>
    <w:p w:rsidR="00CF6BCD" w:rsidRPr="007A6274" w:rsidRDefault="00CF6BCD" w:rsidP="00CF6BCD">
      <w:pPr>
        <w:ind w:firstLine="708"/>
        <w:jc w:val="right"/>
        <w:rPr>
          <w:rFonts w:ascii="Calibri" w:hAnsi="Calibri" w:cs="Calibri"/>
          <w:b/>
          <w:bCs/>
          <w:i/>
          <w:iCs/>
          <w:color w:val="7F7F7F" w:themeColor="text1" w:themeTint="80"/>
          <w:sz w:val="26"/>
          <w:szCs w:val="26"/>
        </w:rPr>
      </w:pPr>
    </w:p>
    <w:p w:rsidR="00603811" w:rsidRDefault="00CF6BCD" w:rsidP="00603811">
      <w:pPr>
        <w:ind w:firstLine="708"/>
        <w:jc w:val="both"/>
        <w:rPr>
          <w:rFonts w:ascii="Calibri" w:hAnsi="Calibri" w:cs="Calibri"/>
          <w:bCs/>
          <w:iCs/>
          <w:color w:val="7F7F7F" w:themeColor="text1" w:themeTint="80"/>
          <w:sz w:val="26"/>
          <w:szCs w:val="26"/>
        </w:rPr>
      </w:pPr>
      <w:r w:rsidRPr="007A6274">
        <w:rPr>
          <w:rFonts w:ascii="Calibri" w:hAnsi="Calibri" w:cs="Calibri"/>
          <w:b/>
          <w:bCs/>
          <w:i/>
          <w:iCs/>
          <w:color w:val="7F7F7F" w:themeColor="text1" w:themeTint="80"/>
          <w:sz w:val="26"/>
          <w:szCs w:val="26"/>
        </w:rPr>
        <w:t xml:space="preserve">CUARTO.- </w:t>
      </w:r>
      <w:r w:rsidRPr="007A6274">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p>
    <w:p w:rsidR="00603811" w:rsidRPr="006D1398" w:rsidRDefault="00603811" w:rsidP="00603811">
      <w:pPr>
        <w:jc w:val="right"/>
        <w:rPr>
          <w:rFonts w:ascii="Calibri" w:hAnsi="Calibri" w:cs="Calibri"/>
          <w:b/>
          <w:bCs/>
          <w:iCs/>
          <w:color w:val="7F7F7F" w:themeColor="text1" w:themeTint="80"/>
          <w:sz w:val="26"/>
          <w:szCs w:val="26"/>
        </w:rPr>
      </w:pPr>
      <w:r w:rsidRPr="006D1398">
        <w:rPr>
          <w:rFonts w:ascii="Calibri" w:hAnsi="Calibri" w:cs="Calibri"/>
          <w:b/>
          <w:bCs/>
          <w:iCs/>
          <w:color w:val="7F7F7F" w:themeColor="text1" w:themeTint="80"/>
          <w:sz w:val="26"/>
          <w:szCs w:val="26"/>
        </w:rPr>
        <w:t xml:space="preserve">Expediente número </w:t>
      </w:r>
      <w:r>
        <w:rPr>
          <w:rFonts w:ascii="Calibri" w:hAnsi="Calibri" w:cs="Calibri"/>
          <w:b/>
          <w:bCs/>
          <w:iCs/>
          <w:color w:val="7F7F7F" w:themeColor="text1" w:themeTint="80"/>
          <w:sz w:val="26"/>
          <w:szCs w:val="26"/>
        </w:rPr>
        <w:t>1016/2015-JN</w:t>
      </w:r>
    </w:p>
    <w:p w:rsidR="00603811" w:rsidRDefault="00603811" w:rsidP="00603811">
      <w:pPr>
        <w:ind w:firstLine="708"/>
        <w:jc w:val="both"/>
        <w:rPr>
          <w:rFonts w:ascii="Calibri" w:hAnsi="Calibri" w:cs="Calibri"/>
          <w:bCs/>
          <w:iCs/>
          <w:color w:val="7F7F7F" w:themeColor="text1" w:themeTint="80"/>
          <w:sz w:val="26"/>
          <w:szCs w:val="26"/>
        </w:rPr>
      </w:pPr>
    </w:p>
    <w:p w:rsidR="00CF6BCD" w:rsidRPr="00603811" w:rsidRDefault="00CF6BCD" w:rsidP="00603811">
      <w:pPr>
        <w:jc w:val="both"/>
        <w:rPr>
          <w:rFonts w:ascii="Calibri" w:hAnsi="Calibri" w:cs="Calibri"/>
          <w:bCs/>
          <w:iCs/>
          <w:color w:val="7F7F7F" w:themeColor="text1" w:themeTint="80"/>
          <w:sz w:val="26"/>
          <w:szCs w:val="26"/>
        </w:rPr>
      </w:pPr>
      <w:r w:rsidRPr="007A6274">
        <w:rPr>
          <w:rFonts w:ascii="Calibri" w:hAnsi="Calibri" w:cs="Calibri"/>
          <w:bCs/>
          <w:iCs/>
          <w:color w:val="7F7F7F" w:themeColor="text1" w:themeTint="80"/>
          <w:sz w:val="26"/>
          <w:szCs w:val="26"/>
        </w:rPr>
        <w:t>y Justicia Administrativa  para el Estado y los Municipios de  Guanajuato, ya que de actualizarse alguna, podría imposibilitar el pronunciamiento por parte de este órgano jurisdiccional sobre el fondo de la controversia planteada</w:t>
      </w:r>
      <w:r w:rsidRPr="007A6274">
        <w:rPr>
          <w:rFonts w:ascii="Calibri" w:hAnsi="Calibri" w:cs="Calibri"/>
          <w:color w:val="7F7F7F" w:themeColor="text1" w:themeTint="80"/>
          <w:sz w:val="26"/>
          <w:szCs w:val="26"/>
        </w:rPr>
        <w:t>. . . . . . . . . . . . . .</w:t>
      </w:r>
    </w:p>
    <w:p w:rsidR="00CF6BCD" w:rsidRDefault="00CF6BCD" w:rsidP="00CF6BCD">
      <w:pPr>
        <w:jc w:val="both"/>
        <w:rPr>
          <w:rFonts w:ascii="Calibri" w:hAnsi="Calibri" w:cs="Calibri"/>
          <w:b/>
          <w:bCs/>
          <w:i/>
          <w:iCs/>
          <w:color w:val="7F7F7F" w:themeColor="text1" w:themeTint="80"/>
          <w:sz w:val="26"/>
          <w:szCs w:val="26"/>
        </w:rPr>
      </w:pPr>
    </w:p>
    <w:p w:rsidR="00654803" w:rsidRPr="00CF6D39" w:rsidRDefault="00654803" w:rsidP="00654803">
      <w:pPr>
        <w:ind w:firstLine="708"/>
        <w:jc w:val="both"/>
        <w:rPr>
          <w:rFonts w:ascii="Calibri" w:hAnsi="Calibri" w:cs="Calibri"/>
          <w:bCs/>
          <w:iCs/>
          <w:color w:val="7F7F7F" w:themeColor="text1" w:themeTint="80"/>
          <w:sz w:val="26"/>
          <w:szCs w:val="26"/>
        </w:rPr>
      </w:pPr>
      <w:r w:rsidRPr="00CF6D39">
        <w:rPr>
          <w:rFonts w:ascii="Calibri" w:hAnsi="Calibri" w:cs="Calibri"/>
          <w:bCs/>
          <w:iCs/>
          <w:color w:val="7F7F7F" w:themeColor="text1" w:themeTint="80"/>
          <w:sz w:val="26"/>
          <w:szCs w:val="26"/>
        </w:rPr>
        <w:t xml:space="preserve">Sentado lo anterior, se advierte que en el presente proceso, </w:t>
      </w:r>
      <w:r w:rsidR="00596369">
        <w:rPr>
          <w:rFonts w:ascii="Calibri" w:hAnsi="Calibri" w:cs="Calibri"/>
          <w:bCs/>
          <w:iCs/>
          <w:color w:val="7F7F7F" w:themeColor="text1" w:themeTint="80"/>
          <w:sz w:val="26"/>
          <w:szCs w:val="26"/>
        </w:rPr>
        <w:t>e</w:t>
      </w:r>
      <w:r w:rsidRPr="00CF6D39">
        <w:rPr>
          <w:rFonts w:ascii="Calibri" w:hAnsi="Calibri" w:cs="Calibri"/>
          <w:bCs/>
          <w:iCs/>
          <w:color w:val="7F7F7F" w:themeColor="text1" w:themeTint="80"/>
          <w:sz w:val="26"/>
          <w:szCs w:val="26"/>
        </w:rPr>
        <w:t>l Agente de Tránsito demandad</w:t>
      </w:r>
      <w:r w:rsidR="00596369">
        <w:rPr>
          <w:rFonts w:ascii="Calibri" w:hAnsi="Calibri" w:cs="Calibri"/>
          <w:bCs/>
          <w:iCs/>
          <w:color w:val="7F7F7F" w:themeColor="text1" w:themeTint="80"/>
          <w:sz w:val="26"/>
          <w:szCs w:val="26"/>
        </w:rPr>
        <w:t>o</w:t>
      </w:r>
      <w:r w:rsidRPr="00CF6D39">
        <w:rPr>
          <w:rFonts w:ascii="Calibri" w:hAnsi="Calibri" w:cs="Calibri"/>
          <w:b/>
          <w:bCs/>
          <w:iCs/>
          <w:color w:val="7F7F7F" w:themeColor="text1" w:themeTint="80"/>
          <w:sz w:val="26"/>
          <w:szCs w:val="26"/>
        </w:rPr>
        <w:t>sí exteriorizó</w:t>
      </w:r>
      <w:r w:rsidRPr="00CF6D39">
        <w:rPr>
          <w:rFonts w:ascii="Calibri" w:hAnsi="Calibri" w:cs="Calibri"/>
          <w:bCs/>
          <w:iCs/>
          <w:color w:val="7F7F7F" w:themeColor="text1" w:themeTint="80"/>
          <w:sz w:val="26"/>
          <w:szCs w:val="26"/>
        </w:rPr>
        <w:t xml:space="preserve"> una causal de improcedencia: </w:t>
      </w:r>
      <w:r w:rsidRPr="00CF6D39">
        <w:rPr>
          <w:rFonts w:ascii="Calibri" w:hAnsi="Calibri" w:cs="Calibri"/>
          <w:bCs/>
          <w:color w:val="7F7F7F" w:themeColor="text1" w:themeTint="80"/>
          <w:sz w:val="26"/>
          <w:szCs w:val="26"/>
        </w:rPr>
        <w:t xml:space="preserve">la prevista en la fracción I del artículo 261 del </w:t>
      </w:r>
      <w:r w:rsidRPr="00CF6D39">
        <w:rPr>
          <w:rFonts w:ascii="Calibri" w:hAnsi="Calibri" w:cs="Calibri"/>
          <w:color w:val="7F7F7F" w:themeColor="text1" w:themeTint="80"/>
          <w:sz w:val="26"/>
          <w:szCs w:val="26"/>
        </w:rPr>
        <w:t xml:space="preserve">Código de Procedimiento y Justicia Administrativa para el Estado y los Municipios de Guanajuato; al referir que la boleta de infracción impugnada </w:t>
      </w:r>
      <w:r w:rsidRPr="00CF6D39">
        <w:rPr>
          <w:rFonts w:ascii="Calibri" w:hAnsi="Calibri" w:cs="Calibri"/>
          <w:b/>
          <w:color w:val="7F7F7F" w:themeColor="text1" w:themeTint="80"/>
          <w:sz w:val="26"/>
          <w:szCs w:val="26"/>
        </w:rPr>
        <w:t>no afecta el interés jurídico</w:t>
      </w:r>
      <w:r w:rsidRPr="00CF6D39">
        <w:rPr>
          <w:rFonts w:ascii="Calibri" w:hAnsi="Calibri" w:cs="Calibri"/>
          <w:color w:val="7F7F7F" w:themeColor="text1" w:themeTint="80"/>
          <w:sz w:val="26"/>
          <w:szCs w:val="26"/>
        </w:rPr>
        <w:t xml:space="preserve"> del impetrante, dado que dicha boleta no fue emitida a nombre del inconforme, así como que</w:t>
      </w:r>
      <w:r w:rsidR="006C5D09">
        <w:rPr>
          <w:rFonts w:ascii="Calibri" w:hAnsi="Calibri"/>
          <w:color w:val="7F7F7F" w:themeColor="text1" w:themeTint="80"/>
          <w:sz w:val="26"/>
          <w:szCs w:val="26"/>
        </w:rPr>
        <w:t>tampoco a</w:t>
      </w:r>
      <w:r w:rsidRPr="00CF6D39">
        <w:rPr>
          <w:rFonts w:ascii="Calibri" w:hAnsi="Calibri"/>
          <w:color w:val="7F7F7F" w:themeColor="text1" w:themeTint="80"/>
          <w:sz w:val="26"/>
          <w:szCs w:val="26"/>
        </w:rPr>
        <w:t xml:space="preserve">creditó ser </w:t>
      </w:r>
      <w:r>
        <w:rPr>
          <w:rFonts w:ascii="Calibri" w:hAnsi="Calibri"/>
          <w:color w:val="7F7F7F" w:themeColor="text1" w:themeTint="80"/>
          <w:sz w:val="26"/>
          <w:szCs w:val="26"/>
        </w:rPr>
        <w:t>e</w:t>
      </w:r>
      <w:r w:rsidRPr="00CF6D39">
        <w:rPr>
          <w:rFonts w:ascii="Calibri" w:hAnsi="Calibri"/>
          <w:color w:val="7F7F7F" w:themeColor="text1" w:themeTint="80"/>
          <w:sz w:val="26"/>
          <w:szCs w:val="26"/>
        </w:rPr>
        <w:t>l propietari</w:t>
      </w:r>
      <w:r>
        <w:rPr>
          <w:rFonts w:ascii="Calibri" w:hAnsi="Calibri"/>
          <w:color w:val="7F7F7F" w:themeColor="text1" w:themeTint="80"/>
          <w:sz w:val="26"/>
          <w:szCs w:val="26"/>
        </w:rPr>
        <w:t>o</w:t>
      </w:r>
      <w:r w:rsidR="008E324F">
        <w:rPr>
          <w:rFonts w:ascii="Calibri" w:hAnsi="Calibri"/>
          <w:color w:val="7F7F7F" w:themeColor="text1" w:themeTint="80"/>
          <w:sz w:val="26"/>
          <w:szCs w:val="26"/>
        </w:rPr>
        <w:t xml:space="preserve">o poseedor </w:t>
      </w:r>
      <w:r w:rsidRPr="00CF6D39">
        <w:rPr>
          <w:rFonts w:ascii="Calibri" w:hAnsi="Calibri"/>
          <w:color w:val="7F7F7F" w:themeColor="text1" w:themeTint="80"/>
          <w:sz w:val="26"/>
          <w:szCs w:val="26"/>
        </w:rPr>
        <w:t xml:space="preserve">del vehículo respecto del cual se emitió la boleta de infracción. </w:t>
      </w:r>
      <w:r w:rsidR="00ED545A">
        <w:rPr>
          <w:rFonts w:ascii="Calibri" w:hAnsi="Calibri"/>
          <w:color w:val="7F7F7F" w:themeColor="text1" w:themeTint="80"/>
          <w:sz w:val="26"/>
          <w:szCs w:val="26"/>
        </w:rPr>
        <w:t>. . . . . . . . . . . . . . . . . . . . . . . . . . . . . . . . . . . . . . . . . . . . . . . . . . .</w:t>
      </w:r>
    </w:p>
    <w:p w:rsidR="00654803" w:rsidRPr="00CF6D39" w:rsidRDefault="00654803" w:rsidP="00654803">
      <w:pPr>
        <w:rPr>
          <w:color w:val="7F7F7F" w:themeColor="text1" w:themeTint="80"/>
          <w:sz w:val="22"/>
        </w:rPr>
      </w:pPr>
    </w:p>
    <w:p w:rsidR="00654803" w:rsidRDefault="00654803" w:rsidP="00654803">
      <w:pPr>
        <w:pStyle w:val="Textoindependiente"/>
        <w:ind w:firstLine="708"/>
        <w:rPr>
          <w:rFonts w:ascii="Calibri" w:hAnsi="Calibri" w:cs="Arial"/>
          <w:color w:val="7F7F7F" w:themeColor="text1" w:themeTint="80"/>
          <w:sz w:val="26"/>
          <w:szCs w:val="26"/>
        </w:rPr>
      </w:pPr>
      <w:r w:rsidRPr="00CF6D39">
        <w:rPr>
          <w:rFonts w:ascii="Calibri" w:hAnsi="Calibri" w:cs="Arial"/>
          <w:color w:val="7F7F7F" w:themeColor="text1" w:themeTint="80"/>
          <w:sz w:val="26"/>
          <w:szCs w:val="26"/>
        </w:rPr>
        <w:lastRenderedPageBreak/>
        <w:t xml:space="preserve">En la especie, para este Juzgador </w:t>
      </w:r>
      <w:r w:rsidRPr="00CF6D39">
        <w:rPr>
          <w:rFonts w:ascii="Calibri" w:hAnsi="Calibri" w:cs="Arial"/>
          <w:b/>
          <w:color w:val="7F7F7F" w:themeColor="text1" w:themeTint="80"/>
          <w:sz w:val="26"/>
          <w:szCs w:val="26"/>
        </w:rPr>
        <w:t>sí se actualiza</w:t>
      </w:r>
      <w:r w:rsidRPr="00CF6D39">
        <w:rPr>
          <w:rFonts w:ascii="Calibri" w:hAnsi="Calibri" w:cs="Arial"/>
          <w:color w:val="7F7F7F" w:themeColor="text1" w:themeTint="80"/>
          <w:sz w:val="26"/>
          <w:szCs w:val="26"/>
        </w:rPr>
        <w:t xml:space="preserve"> la causal de improcedencia en comento; toda vez que, en efecto, el acto impugnado no afecta los intereses jurídicos del ciudadan</w:t>
      </w:r>
      <w:r>
        <w:rPr>
          <w:rFonts w:ascii="Calibri" w:hAnsi="Calibri" w:cs="Arial"/>
          <w:color w:val="7F7F7F" w:themeColor="text1" w:themeTint="80"/>
          <w:sz w:val="26"/>
          <w:szCs w:val="26"/>
        </w:rPr>
        <w:t>o</w:t>
      </w:r>
      <w:r w:rsidR="008E41CB">
        <w:rPr>
          <w:rFonts w:ascii="Calibri" w:hAnsi="Calibri" w:cs="Arial"/>
          <w:color w:val="7F7F7F" w:themeColor="text1" w:themeTint="80"/>
          <w:sz w:val="26"/>
          <w:szCs w:val="26"/>
        </w:rPr>
        <w:t xml:space="preserve"> *****</w:t>
      </w:r>
      <w:r w:rsidR="00692819">
        <w:rPr>
          <w:rFonts w:ascii="Calibri" w:hAnsi="Calibri" w:cs="Arial"/>
          <w:color w:val="7F7F7F" w:themeColor="text1" w:themeTint="80"/>
          <w:sz w:val="26"/>
          <w:szCs w:val="26"/>
        </w:rPr>
        <w:t>-</w:t>
      </w:r>
      <w:r w:rsidRPr="00CF6D39">
        <w:rPr>
          <w:rFonts w:ascii="Calibri" w:hAnsi="Calibri" w:cs="Arial"/>
          <w:color w:val="7F7F7F" w:themeColor="text1" w:themeTint="80"/>
          <w:sz w:val="26"/>
          <w:szCs w:val="26"/>
        </w:rPr>
        <w:t>promovente de este juicio</w:t>
      </w:r>
      <w:r w:rsidR="00692819">
        <w:rPr>
          <w:rFonts w:ascii="Calibri" w:hAnsi="Calibri" w:cs="Arial"/>
          <w:color w:val="7F7F7F" w:themeColor="text1" w:themeTint="80"/>
          <w:sz w:val="26"/>
          <w:szCs w:val="26"/>
        </w:rPr>
        <w:t>-</w:t>
      </w:r>
      <w:r w:rsidRPr="00CF6D39">
        <w:rPr>
          <w:rFonts w:ascii="Calibri" w:hAnsi="Calibri" w:cs="Arial"/>
          <w:color w:val="7F7F7F" w:themeColor="text1" w:themeTint="80"/>
          <w:sz w:val="26"/>
          <w:szCs w:val="26"/>
        </w:rPr>
        <w:t xml:space="preserve">, con base en lo siguiente: . . . . . </w:t>
      </w:r>
      <w:r w:rsidR="00E05C3B">
        <w:rPr>
          <w:rFonts w:ascii="Calibri" w:hAnsi="Calibri" w:cs="Arial"/>
          <w:color w:val="7F7F7F" w:themeColor="text1" w:themeTint="80"/>
          <w:sz w:val="26"/>
          <w:szCs w:val="26"/>
        </w:rPr>
        <w:t>. . . . . . . . . . . . . . . . . . . . . . . . . . . . . . . . . . . . .</w:t>
      </w:r>
    </w:p>
    <w:p w:rsidR="00654803" w:rsidRPr="00CF6D39" w:rsidRDefault="00654803" w:rsidP="00654803">
      <w:pPr>
        <w:pStyle w:val="Textoindependiente"/>
        <w:ind w:firstLine="708"/>
        <w:rPr>
          <w:rFonts w:ascii="Calibri" w:hAnsi="Calibri" w:cs="Arial"/>
          <w:color w:val="7F7F7F" w:themeColor="text1" w:themeTint="80"/>
          <w:sz w:val="26"/>
          <w:szCs w:val="26"/>
        </w:rPr>
      </w:pPr>
    </w:p>
    <w:p w:rsidR="00654803" w:rsidRPr="00CF6D39" w:rsidRDefault="00654803" w:rsidP="00654803">
      <w:pPr>
        <w:pStyle w:val="Textoindependiente"/>
        <w:ind w:firstLine="708"/>
        <w:rPr>
          <w:rFonts w:ascii="Calibri" w:hAnsi="Calibri" w:cs="Arial"/>
          <w:color w:val="7F7F7F" w:themeColor="text1" w:themeTint="80"/>
          <w:sz w:val="26"/>
          <w:szCs w:val="26"/>
        </w:rPr>
      </w:pPr>
      <w:r w:rsidRPr="00CF6D39">
        <w:rPr>
          <w:rFonts w:ascii="Calibri" w:hAnsi="Calibri"/>
          <w:color w:val="7F7F7F" w:themeColor="text1" w:themeTint="80"/>
          <w:sz w:val="26"/>
          <w:szCs w:val="26"/>
        </w:rPr>
        <w:t xml:space="preserve">El </w:t>
      </w:r>
      <w:r w:rsidRPr="00CF6D39">
        <w:rPr>
          <w:rFonts w:ascii="Calibri" w:hAnsi="Calibri"/>
          <w:i/>
          <w:iCs/>
          <w:color w:val="7F7F7F" w:themeColor="text1" w:themeTint="80"/>
          <w:sz w:val="26"/>
          <w:szCs w:val="26"/>
        </w:rPr>
        <w:t xml:space="preserve">interés jurídico </w:t>
      </w:r>
      <w:r w:rsidRPr="00CF6D39">
        <w:rPr>
          <w:rFonts w:ascii="Calibri" w:hAnsi="Calibri"/>
          <w:color w:val="7F7F7F" w:themeColor="text1" w:themeTint="80"/>
          <w:sz w:val="26"/>
          <w:szCs w:val="26"/>
        </w:rPr>
        <w:t xml:space="preserve">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w:t>
      </w:r>
      <w:r>
        <w:rPr>
          <w:rFonts w:ascii="Calibri" w:hAnsi="Calibri"/>
          <w:color w:val="7F7F7F" w:themeColor="text1" w:themeTint="80"/>
          <w:sz w:val="26"/>
          <w:szCs w:val="26"/>
        </w:rPr>
        <w:t xml:space="preserve">. . . . . . . . . . . . . </w:t>
      </w:r>
    </w:p>
    <w:p w:rsidR="00654803" w:rsidRPr="00CF6D39" w:rsidRDefault="00654803" w:rsidP="00654803">
      <w:pPr>
        <w:ind w:firstLine="708"/>
        <w:jc w:val="both"/>
        <w:rPr>
          <w:rFonts w:ascii="Calibri" w:hAnsi="Calibri"/>
          <w:color w:val="7F7F7F" w:themeColor="text1" w:themeTint="80"/>
          <w:sz w:val="26"/>
          <w:szCs w:val="26"/>
          <w:lang w:val="es-MX"/>
        </w:rPr>
      </w:pPr>
    </w:p>
    <w:p w:rsidR="00654803" w:rsidRPr="00CF6D39" w:rsidRDefault="00654803" w:rsidP="00654803">
      <w:pPr>
        <w:ind w:firstLine="708"/>
        <w:jc w:val="both"/>
        <w:rPr>
          <w:rFonts w:ascii="Calibri" w:hAnsi="Calibri"/>
          <w:color w:val="7F7F7F" w:themeColor="text1" w:themeTint="80"/>
          <w:sz w:val="26"/>
          <w:szCs w:val="26"/>
        </w:rPr>
      </w:pPr>
      <w:r w:rsidRPr="00CF6D39">
        <w:rPr>
          <w:rFonts w:ascii="Calibri" w:hAnsi="Calibri"/>
          <w:b/>
          <w:i/>
          <w:color w:val="7F7F7F" w:themeColor="text1" w:themeTint="80"/>
          <w:sz w:val="26"/>
          <w:szCs w:val="26"/>
        </w:rPr>
        <w:t>“Artículo 243.-</w:t>
      </w:r>
      <w:r w:rsidRPr="00CF6D39">
        <w:rPr>
          <w:rFonts w:ascii="Calibri" w:hAnsi="Calibri"/>
          <w:i/>
          <w:color w:val="7F7F7F" w:themeColor="text1" w:themeTint="80"/>
          <w:sz w:val="26"/>
          <w:szCs w:val="26"/>
        </w:rPr>
        <w:t xml:space="preserve"> Los actos y resoluciones administrativas dictadas por el Ayuntamiento</w:t>
      </w:r>
      <w:r w:rsidRPr="00CF6D39">
        <w:rPr>
          <w:rFonts w:ascii="Calibri" w:hAnsi="Calibri"/>
          <w:iCs/>
          <w:color w:val="7F7F7F" w:themeColor="text1" w:themeTint="80"/>
          <w:sz w:val="26"/>
          <w:szCs w:val="26"/>
        </w:rPr>
        <w:t xml:space="preserve"> . . . . . . . . . . . .</w:t>
      </w:r>
      <w:r w:rsidRPr="00CF6D39">
        <w:rPr>
          <w:rFonts w:ascii="Calibri" w:hAnsi="Calibri"/>
          <w:i/>
          <w:color w:val="7F7F7F" w:themeColor="text1" w:themeTint="80"/>
          <w:sz w:val="26"/>
          <w:szCs w:val="26"/>
        </w:rPr>
        <w:t xml:space="preserve"> . . . . . . . . . . . . . . . . . . . . . . . . . . . . . . . . . . . . . . . . . . </w:t>
      </w:r>
      <w:r w:rsidR="00F6585B">
        <w:rPr>
          <w:rFonts w:ascii="Calibri" w:hAnsi="Calibri"/>
          <w:i/>
          <w:color w:val="7F7F7F" w:themeColor="text1" w:themeTint="80"/>
          <w:sz w:val="26"/>
          <w:szCs w:val="26"/>
        </w:rPr>
        <w:t>. . .</w:t>
      </w:r>
    </w:p>
    <w:p w:rsidR="00654803" w:rsidRPr="00CF6D39" w:rsidRDefault="00654803" w:rsidP="00654803">
      <w:pPr>
        <w:pStyle w:val="Sangra3detindependiente"/>
        <w:ind w:firstLine="709"/>
        <w:jc w:val="both"/>
        <w:rPr>
          <w:rFonts w:ascii="Calibri" w:hAnsi="Calibri"/>
          <w:i/>
          <w:color w:val="7F7F7F" w:themeColor="text1" w:themeTint="80"/>
          <w:sz w:val="26"/>
          <w:szCs w:val="26"/>
        </w:rPr>
      </w:pPr>
    </w:p>
    <w:p w:rsidR="00654803" w:rsidRPr="00CF6D39" w:rsidRDefault="00654803" w:rsidP="00654803">
      <w:pPr>
        <w:pStyle w:val="Sangra3detindependiente"/>
        <w:ind w:left="0" w:firstLine="283"/>
        <w:jc w:val="both"/>
        <w:rPr>
          <w:rFonts w:ascii="Calibri" w:hAnsi="Calibri"/>
          <w:i/>
          <w:color w:val="7F7F7F" w:themeColor="text1" w:themeTint="80"/>
          <w:sz w:val="26"/>
          <w:szCs w:val="26"/>
        </w:rPr>
      </w:pPr>
      <w:r w:rsidRPr="00CF6D39">
        <w:rPr>
          <w:rFonts w:ascii="Calibri" w:hAnsi="Calibri"/>
          <w:i/>
          <w:iCs/>
          <w:color w:val="7F7F7F" w:themeColor="text1" w:themeTint="8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CF6D39">
        <w:rPr>
          <w:rFonts w:ascii="Calibri" w:hAnsi="Calibri"/>
          <w:b/>
          <w:i/>
          <w:iCs/>
          <w:color w:val="7F7F7F" w:themeColor="text1" w:themeTint="80"/>
          <w:sz w:val="26"/>
          <w:szCs w:val="26"/>
        </w:rPr>
        <w:t>.</w:t>
      </w:r>
      <w:r w:rsidRPr="00CF6D39">
        <w:rPr>
          <w:rFonts w:ascii="Calibri" w:hAnsi="Calibri"/>
          <w:color w:val="7F7F7F" w:themeColor="text1" w:themeTint="80"/>
          <w:sz w:val="26"/>
          <w:szCs w:val="26"/>
        </w:rPr>
        <w:t xml:space="preserve"> . . . . . . . . . . . . . . . . . </w:t>
      </w:r>
      <w:r w:rsidR="007568B0">
        <w:rPr>
          <w:rFonts w:ascii="Calibri" w:hAnsi="Calibri"/>
          <w:color w:val="7F7F7F" w:themeColor="text1" w:themeTint="80"/>
          <w:sz w:val="26"/>
          <w:szCs w:val="26"/>
        </w:rPr>
        <w:t xml:space="preserve">. . . </w:t>
      </w:r>
    </w:p>
    <w:p w:rsidR="00654803" w:rsidRPr="00CF6D39" w:rsidRDefault="00654803" w:rsidP="00654803">
      <w:pPr>
        <w:jc w:val="both"/>
        <w:rPr>
          <w:rFonts w:ascii="Calibri" w:hAnsi="Calibri"/>
          <w:color w:val="7F7F7F" w:themeColor="text1" w:themeTint="80"/>
          <w:sz w:val="26"/>
          <w:szCs w:val="26"/>
        </w:rPr>
      </w:pPr>
    </w:p>
    <w:p w:rsidR="00654803" w:rsidRPr="00CF6D39" w:rsidRDefault="00654803" w:rsidP="00654803">
      <w:pPr>
        <w:pStyle w:val="Sangra3detindependiente"/>
        <w:ind w:firstLine="425"/>
        <w:jc w:val="both"/>
        <w:rPr>
          <w:rFonts w:ascii="Calibri" w:hAnsi="Calibri"/>
          <w:iCs/>
          <w:color w:val="7F7F7F" w:themeColor="text1" w:themeTint="80"/>
          <w:sz w:val="26"/>
          <w:szCs w:val="26"/>
        </w:rPr>
      </w:pPr>
      <w:r w:rsidRPr="00CF6D39">
        <w:rPr>
          <w:rFonts w:ascii="Calibri" w:hAnsi="Calibri"/>
          <w:b/>
          <w:i/>
          <w:color w:val="7F7F7F" w:themeColor="text1" w:themeTint="80"/>
          <w:sz w:val="26"/>
          <w:szCs w:val="26"/>
        </w:rPr>
        <w:t xml:space="preserve">   “Artículo 251.</w:t>
      </w:r>
      <w:r w:rsidRPr="00CF6D39">
        <w:rPr>
          <w:rFonts w:ascii="Calibri" w:hAnsi="Calibri"/>
          <w:i/>
          <w:color w:val="7F7F7F" w:themeColor="text1" w:themeTint="80"/>
          <w:sz w:val="26"/>
          <w:szCs w:val="26"/>
        </w:rPr>
        <w:t xml:space="preserve"> Sólo podrán intervenir en el proceso administrativo, las personas que tengan un interés jurídico que funde su pretensión</w:t>
      </w:r>
      <w:r w:rsidRPr="00CF6D39">
        <w:rPr>
          <w:rFonts w:ascii="Calibri" w:hAnsi="Calibri"/>
          <w:iCs/>
          <w:color w:val="7F7F7F" w:themeColor="text1" w:themeTint="80"/>
          <w:sz w:val="26"/>
          <w:szCs w:val="26"/>
        </w:rPr>
        <w:t xml:space="preserve">: . . . . . . . . . . . </w:t>
      </w:r>
      <w:r w:rsidR="00F6585B">
        <w:rPr>
          <w:rFonts w:ascii="Calibri" w:hAnsi="Calibri"/>
          <w:iCs/>
          <w:color w:val="7F7F7F" w:themeColor="text1" w:themeTint="80"/>
          <w:sz w:val="26"/>
          <w:szCs w:val="26"/>
        </w:rPr>
        <w:t>.</w:t>
      </w:r>
    </w:p>
    <w:p w:rsidR="00654803" w:rsidRPr="00CF6D39" w:rsidRDefault="00654803" w:rsidP="00654803">
      <w:pPr>
        <w:pStyle w:val="Sangra3detindependiente"/>
        <w:jc w:val="both"/>
        <w:rPr>
          <w:rFonts w:ascii="Calibri" w:hAnsi="Calibri"/>
          <w:iCs/>
          <w:color w:val="7F7F7F" w:themeColor="text1" w:themeTint="80"/>
          <w:sz w:val="26"/>
          <w:szCs w:val="26"/>
        </w:rPr>
      </w:pPr>
    </w:p>
    <w:p w:rsidR="00654803" w:rsidRPr="00CF6D39" w:rsidRDefault="00654803" w:rsidP="00654803">
      <w:pPr>
        <w:pStyle w:val="Sangra3detindependiente"/>
        <w:numPr>
          <w:ilvl w:val="0"/>
          <w:numId w:val="1"/>
        </w:numPr>
        <w:spacing w:after="0"/>
        <w:jc w:val="both"/>
        <w:rPr>
          <w:rFonts w:ascii="Calibri" w:hAnsi="Calibri"/>
          <w:iCs/>
          <w:color w:val="7F7F7F" w:themeColor="text1" w:themeTint="80"/>
          <w:sz w:val="26"/>
          <w:szCs w:val="26"/>
        </w:rPr>
      </w:pPr>
      <w:r w:rsidRPr="00CF6D39">
        <w:rPr>
          <w:rFonts w:ascii="Calibri" w:hAnsi="Calibri"/>
          <w:i/>
          <w:color w:val="7F7F7F" w:themeColor="text1" w:themeTint="80"/>
          <w:sz w:val="26"/>
          <w:szCs w:val="26"/>
        </w:rPr>
        <w:t>Tendrán el carácter de actor</w:t>
      </w:r>
      <w:r w:rsidRPr="00CF6D39">
        <w:rPr>
          <w:rFonts w:ascii="Calibri" w:hAnsi="Calibri"/>
          <w:iCs/>
          <w:color w:val="7F7F7F" w:themeColor="text1" w:themeTint="80"/>
          <w:sz w:val="26"/>
          <w:szCs w:val="26"/>
        </w:rPr>
        <w:t>: . . . . . . . . . . . . . . . . . . . . . . . .</w:t>
      </w:r>
      <w:r w:rsidR="00F6585B">
        <w:rPr>
          <w:rFonts w:ascii="Calibri" w:hAnsi="Calibri"/>
          <w:iCs/>
          <w:color w:val="7F7F7F" w:themeColor="text1" w:themeTint="80"/>
          <w:sz w:val="26"/>
          <w:szCs w:val="26"/>
        </w:rPr>
        <w:t xml:space="preserve"> . . . . . . . . . </w:t>
      </w:r>
    </w:p>
    <w:p w:rsidR="00654803" w:rsidRPr="00CF6D39" w:rsidRDefault="00654803" w:rsidP="00654803">
      <w:pPr>
        <w:jc w:val="both"/>
        <w:rPr>
          <w:rFonts w:ascii="Calibri" w:hAnsi="Calibri"/>
          <w:color w:val="7F7F7F" w:themeColor="text1" w:themeTint="80"/>
          <w:sz w:val="26"/>
          <w:szCs w:val="26"/>
        </w:rPr>
      </w:pPr>
    </w:p>
    <w:p w:rsidR="00654803" w:rsidRPr="00CF6D39" w:rsidRDefault="00654803" w:rsidP="00654803">
      <w:pPr>
        <w:pStyle w:val="Sangra3detindependiente"/>
        <w:jc w:val="both"/>
        <w:rPr>
          <w:rFonts w:ascii="Calibri" w:hAnsi="Calibri"/>
          <w:b/>
          <w:i/>
          <w:color w:val="7F7F7F" w:themeColor="text1" w:themeTint="80"/>
          <w:sz w:val="26"/>
          <w:szCs w:val="26"/>
        </w:rPr>
      </w:pPr>
      <w:r w:rsidRPr="00CF6D39">
        <w:rPr>
          <w:rFonts w:ascii="Calibri" w:hAnsi="Calibri"/>
          <w:i/>
          <w:color w:val="7F7F7F" w:themeColor="text1" w:themeTint="80"/>
          <w:sz w:val="26"/>
          <w:szCs w:val="26"/>
        </w:rPr>
        <w:t>a)</w:t>
      </w:r>
      <w:r w:rsidRPr="00CF6D39">
        <w:rPr>
          <w:rFonts w:ascii="Calibri" w:hAnsi="Calibri"/>
          <w:i/>
          <w:color w:val="7F7F7F" w:themeColor="text1" w:themeTint="80"/>
          <w:sz w:val="26"/>
          <w:szCs w:val="26"/>
        </w:rPr>
        <w:tab/>
        <w:t>Los particulares que sean afectados en sus derechos y bienes por un acto o resolución administrativa; y…</w:t>
      </w:r>
      <w:r w:rsidRPr="00CF6D39">
        <w:rPr>
          <w:rFonts w:ascii="Calibri" w:hAnsi="Calibri"/>
          <w:b/>
          <w:i/>
          <w:color w:val="7F7F7F" w:themeColor="text1" w:themeTint="80"/>
          <w:sz w:val="26"/>
          <w:szCs w:val="26"/>
        </w:rPr>
        <w:t>”</w:t>
      </w:r>
      <w:r w:rsidRPr="00CF6D39">
        <w:rPr>
          <w:rFonts w:ascii="Calibri" w:hAnsi="Calibri"/>
          <w:bCs/>
          <w:iCs/>
          <w:color w:val="7F7F7F" w:themeColor="text1" w:themeTint="80"/>
          <w:sz w:val="26"/>
          <w:szCs w:val="26"/>
        </w:rPr>
        <w:t xml:space="preserve"> . . . . . . . . . . . . . . . . . . . . . . . . . . . . . . . . . . . . . . . . </w:t>
      </w:r>
      <w:r w:rsidR="00F6585B">
        <w:rPr>
          <w:rFonts w:ascii="Calibri" w:hAnsi="Calibri"/>
          <w:bCs/>
          <w:iCs/>
          <w:color w:val="7F7F7F" w:themeColor="text1" w:themeTint="80"/>
          <w:sz w:val="26"/>
          <w:szCs w:val="26"/>
        </w:rPr>
        <w:t>.</w:t>
      </w:r>
    </w:p>
    <w:p w:rsidR="00654803" w:rsidRPr="00CF6D39" w:rsidRDefault="00654803" w:rsidP="00654803">
      <w:pPr>
        <w:jc w:val="both"/>
        <w:rPr>
          <w:rFonts w:ascii="Calibri" w:hAnsi="Calibri"/>
          <w:color w:val="7F7F7F" w:themeColor="text1" w:themeTint="80"/>
          <w:sz w:val="26"/>
          <w:szCs w:val="26"/>
        </w:rPr>
      </w:pPr>
    </w:p>
    <w:p w:rsidR="00654803" w:rsidRPr="00DE60B1" w:rsidRDefault="00654803" w:rsidP="00654803">
      <w:pPr>
        <w:pStyle w:val="Sangra3detindependiente"/>
        <w:ind w:left="0" w:firstLine="283"/>
        <w:jc w:val="both"/>
        <w:rPr>
          <w:rFonts w:ascii="Calibri" w:hAnsi="Calibri"/>
          <w:color w:val="7F7F7F" w:themeColor="text1" w:themeTint="80"/>
          <w:sz w:val="26"/>
          <w:szCs w:val="26"/>
        </w:rPr>
      </w:pPr>
      <w:r w:rsidRPr="00CF6D39">
        <w:rPr>
          <w:rFonts w:ascii="Calibri" w:hAnsi="Calibri"/>
          <w:iCs/>
          <w:color w:val="7F7F7F" w:themeColor="text1" w:themeTint="80"/>
          <w:sz w:val="26"/>
          <w:szCs w:val="26"/>
        </w:rPr>
        <w:t xml:space="preserve">      Así las cosas, l</w:t>
      </w:r>
      <w:r w:rsidRPr="00CF6D39">
        <w:rPr>
          <w:rFonts w:ascii="Calibri" w:hAnsi="Calibri"/>
          <w:color w:val="7F7F7F" w:themeColor="text1" w:themeTint="80"/>
          <w:sz w:val="26"/>
          <w:szCs w:val="26"/>
        </w:rPr>
        <w:t xml:space="preserve">a demanda en el presente proceso administrativo la formuló </w:t>
      </w:r>
      <w:r>
        <w:rPr>
          <w:rFonts w:ascii="Calibri" w:hAnsi="Calibri"/>
          <w:color w:val="7F7F7F" w:themeColor="text1" w:themeTint="80"/>
          <w:sz w:val="26"/>
          <w:szCs w:val="26"/>
        </w:rPr>
        <w:t>e</w:t>
      </w:r>
      <w:r w:rsidRPr="00CF6D39">
        <w:rPr>
          <w:rFonts w:ascii="Calibri" w:hAnsi="Calibri" w:cs="Calibri"/>
          <w:color w:val="7F7F7F" w:themeColor="text1" w:themeTint="80"/>
          <w:sz w:val="26"/>
          <w:szCs w:val="26"/>
        </w:rPr>
        <w:t>l ciudadan</w:t>
      </w:r>
      <w:r>
        <w:rPr>
          <w:rFonts w:ascii="Calibri" w:hAnsi="Calibri" w:cs="Calibri"/>
          <w:color w:val="7F7F7F" w:themeColor="text1" w:themeTint="80"/>
          <w:sz w:val="26"/>
          <w:szCs w:val="26"/>
        </w:rPr>
        <w:t>o</w:t>
      </w:r>
      <w:r w:rsidR="008E41CB">
        <w:rPr>
          <w:rFonts w:ascii="Calibri" w:hAnsi="Calibri" w:cs="Calibri"/>
          <w:color w:val="7F7F7F" w:themeColor="text1" w:themeTint="80"/>
          <w:sz w:val="26"/>
          <w:szCs w:val="26"/>
        </w:rPr>
        <w:t xml:space="preserve"> *****</w:t>
      </w:r>
      <w:r w:rsidRPr="00CF6D39">
        <w:rPr>
          <w:rFonts w:ascii="Calibri" w:hAnsi="Calibri"/>
          <w:color w:val="7F7F7F" w:themeColor="text1" w:themeTint="80"/>
          <w:sz w:val="26"/>
          <w:szCs w:val="26"/>
        </w:rPr>
        <w:t>; sin embargo, de la lectura del acta de infracción número</w:t>
      </w:r>
      <w:r w:rsidR="00E670D1">
        <w:rPr>
          <w:rFonts w:ascii="Calibri" w:hAnsi="Calibri" w:cs="Calibri"/>
          <w:color w:val="7F7F7F" w:themeColor="text1" w:themeTint="80"/>
          <w:sz w:val="26"/>
          <w:szCs w:val="26"/>
        </w:rPr>
        <w:t>T-5353627 (T guion cinco-tres-cinco-tres-seis-dos-siete)</w:t>
      </w:r>
      <w:r w:rsidR="00F6585B">
        <w:rPr>
          <w:rFonts w:ascii="Calibri" w:hAnsi="Calibri" w:cs="Calibri"/>
          <w:color w:val="7F7F7F" w:themeColor="text1" w:themeTint="80"/>
          <w:sz w:val="26"/>
          <w:szCs w:val="26"/>
        </w:rPr>
        <w:t xml:space="preserve">, de fecha </w:t>
      </w:r>
      <w:r w:rsidR="00E670D1">
        <w:rPr>
          <w:rFonts w:ascii="Calibri" w:hAnsi="Calibri" w:cs="Calibri"/>
          <w:color w:val="7F7F7F" w:themeColor="text1" w:themeTint="80"/>
          <w:sz w:val="26"/>
          <w:szCs w:val="26"/>
        </w:rPr>
        <w:t>2 dos de noviembre</w:t>
      </w:r>
      <w:r w:rsidR="00F6585B">
        <w:rPr>
          <w:rFonts w:ascii="Calibri" w:hAnsi="Calibri" w:cs="Calibri"/>
          <w:color w:val="7F7F7F" w:themeColor="text1" w:themeTint="80"/>
          <w:sz w:val="26"/>
          <w:szCs w:val="26"/>
        </w:rPr>
        <w:t xml:space="preserve"> del año 2015 dos mil quince</w:t>
      </w:r>
      <w:r w:rsidRPr="00CF6D39">
        <w:rPr>
          <w:rFonts w:ascii="Calibri" w:hAnsi="Calibri" w:cs="Calibri"/>
          <w:color w:val="7F7F7F" w:themeColor="text1" w:themeTint="80"/>
          <w:sz w:val="26"/>
          <w:szCs w:val="26"/>
        </w:rPr>
        <w:t>;</w:t>
      </w:r>
      <w:r w:rsidRPr="00CF6D39">
        <w:rPr>
          <w:rFonts w:ascii="Calibri" w:hAnsi="Calibri"/>
          <w:color w:val="7F7F7F" w:themeColor="text1" w:themeTint="80"/>
          <w:sz w:val="26"/>
          <w:szCs w:val="26"/>
        </w:rPr>
        <w:t xml:space="preserve"> s</w:t>
      </w:r>
      <w:r w:rsidRPr="00CF6D39">
        <w:rPr>
          <w:rFonts w:ascii="Calibri" w:hAnsi="Calibri" w:cs="Arial"/>
          <w:color w:val="7F7F7F" w:themeColor="text1" w:themeTint="80"/>
          <w:sz w:val="26"/>
          <w:szCs w:val="26"/>
        </w:rPr>
        <w:t xml:space="preserve">e advierte </w:t>
      </w:r>
      <w:r w:rsidRPr="00CF6D39">
        <w:rPr>
          <w:rFonts w:ascii="Calibri" w:hAnsi="Calibri"/>
          <w:iCs/>
          <w:color w:val="7F7F7F" w:themeColor="text1" w:themeTint="80"/>
          <w:sz w:val="26"/>
          <w:szCs w:val="26"/>
        </w:rPr>
        <w:t>que se levantó de manera innominada, al no pr</w:t>
      </w:r>
      <w:r w:rsidR="00F6585B">
        <w:rPr>
          <w:rFonts w:ascii="Calibri" w:hAnsi="Calibri"/>
          <w:iCs/>
          <w:color w:val="7F7F7F" w:themeColor="text1" w:themeTint="80"/>
          <w:sz w:val="26"/>
          <w:szCs w:val="26"/>
        </w:rPr>
        <w:t xml:space="preserve">oporcionar sus datos el </w:t>
      </w:r>
      <w:r w:rsidRPr="00CF6D39">
        <w:rPr>
          <w:rFonts w:ascii="Calibri" w:hAnsi="Calibri"/>
          <w:iCs/>
          <w:color w:val="7F7F7F" w:themeColor="text1" w:themeTint="80"/>
          <w:sz w:val="26"/>
          <w:szCs w:val="26"/>
        </w:rPr>
        <w:t>c</w:t>
      </w:r>
      <w:r w:rsidR="00F6585B">
        <w:rPr>
          <w:rFonts w:ascii="Calibri" w:hAnsi="Calibri"/>
          <w:iCs/>
          <w:color w:val="7F7F7F" w:themeColor="text1" w:themeTint="80"/>
          <w:sz w:val="26"/>
          <w:szCs w:val="26"/>
        </w:rPr>
        <w:t>onduc</w:t>
      </w:r>
      <w:r w:rsidRPr="00CF6D39">
        <w:rPr>
          <w:rFonts w:ascii="Calibri" w:hAnsi="Calibri"/>
          <w:iCs/>
          <w:color w:val="7F7F7F" w:themeColor="text1" w:themeTint="80"/>
          <w:sz w:val="26"/>
          <w:szCs w:val="26"/>
        </w:rPr>
        <w:t>tor, como son su nombre y domicilio; según se desprende del contenido de la propia acta; razón por la que no puede</w:t>
      </w:r>
      <w:r w:rsidRPr="00CF6D39">
        <w:rPr>
          <w:rFonts w:ascii="Calibri" w:hAnsi="Calibri" w:cs="Arial"/>
          <w:color w:val="7F7F7F" w:themeColor="text1" w:themeTint="80"/>
          <w:sz w:val="26"/>
          <w:szCs w:val="26"/>
        </w:rPr>
        <w:t xml:space="preserve"> demostrarse que </w:t>
      </w:r>
      <w:r w:rsidRPr="00CF6D39">
        <w:rPr>
          <w:rFonts w:ascii="Calibri" w:hAnsi="Calibri"/>
          <w:color w:val="7F7F7F" w:themeColor="text1" w:themeTint="80"/>
          <w:sz w:val="26"/>
          <w:szCs w:val="26"/>
        </w:rPr>
        <w:t xml:space="preserve">exista identidad entre </w:t>
      </w:r>
      <w:r>
        <w:rPr>
          <w:rFonts w:ascii="Calibri" w:hAnsi="Calibri"/>
          <w:color w:val="7F7F7F" w:themeColor="text1" w:themeTint="80"/>
          <w:sz w:val="26"/>
          <w:szCs w:val="26"/>
        </w:rPr>
        <w:t>e</w:t>
      </w:r>
      <w:r w:rsidRPr="00CF6D39">
        <w:rPr>
          <w:rFonts w:ascii="Calibri" w:hAnsi="Calibri"/>
          <w:color w:val="7F7F7F" w:themeColor="text1" w:themeTint="80"/>
          <w:sz w:val="26"/>
          <w:szCs w:val="26"/>
        </w:rPr>
        <w:t>l actor y la persona que resiente en su esfera de derechos el acto impugnado; por tanto, en la especie, no se acredita afectación a algún derecho subjetivo del impetrante del proceso</w:t>
      </w:r>
      <w:r w:rsidR="006C5D09">
        <w:rPr>
          <w:rFonts w:ascii="Calibri" w:hAnsi="Calibri"/>
          <w:color w:val="7F7F7F" w:themeColor="text1" w:themeTint="80"/>
          <w:sz w:val="26"/>
          <w:szCs w:val="26"/>
        </w:rPr>
        <w:t xml:space="preserve">, </w:t>
      </w:r>
      <w:r w:rsidR="006C5D09" w:rsidRPr="006E6536">
        <w:rPr>
          <w:rFonts w:ascii="Calibri" w:hAnsi="Calibri"/>
          <w:color w:val="7F7F7F" w:themeColor="text1" w:themeTint="80"/>
          <w:sz w:val="26"/>
          <w:szCs w:val="26"/>
        </w:rPr>
        <w:t>al no ser el destinatario del acto administrativo que se controvierte</w:t>
      </w:r>
      <w:r w:rsidRPr="00CF6D39">
        <w:rPr>
          <w:rFonts w:ascii="Calibri" w:hAnsi="Calibri"/>
          <w:color w:val="7F7F7F" w:themeColor="text1" w:themeTint="80"/>
          <w:sz w:val="26"/>
          <w:szCs w:val="26"/>
        </w:rPr>
        <w:t xml:space="preserve">; toda vez que quien tendría el interés jurídico sería, en su caso, la persona cuyos datos </w:t>
      </w:r>
      <w:r w:rsidRPr="00CF6D39">
        <w:rPr>
          <w:rFonts w:ascii="Calibri" w:hAnsi="Calibri"/>
          <w:color w:val="7F7F7F" w:themeColor="text1" w:themeTint="80"/>
          <w:sz w:val="26"/>
          <w:szCs w:val="26"/>
        </w:rPr>
        <w:lastRenderedPageBreak/>
        <w:t xml:space="preserve">aparecieran en el acta de infracción que se impugna, o bien, el propietario o poseedor del vehículo respecto del cual se levantó la boleta de infracción combatida; sin que en el caso concreto, el nombre del actor aparezca en el acta de infracción, o bien que </w:t>
      </w:r>
      <w:r>
        <w:rPr>
          <w:rFonts w:ascii="Calibri" w:hAnsi="Calibri"/>
          <w:color w:val="7F7F7F" w:themeColor="text1" w:themeTint="80"/>
          <w:sz w:val="26"/>
          <w:szCs w:val="26"/>
        </w:rPr>
        <w:t>e</w:t>
      </w:r>
      <w:r w:rsidRPr="00CF6D39">
        <w:rPr>
          <w:rFonts w:ascii="Calibri" w:hAnsi="Calibri"/>
          <w:color w:val="7F7F7F" w:themeColor="text1" w:themeTint="80"/>
          <w:sz w:val="26"/>
          <w:szCs w:val="26"/>
        </w:rPr>
        <w:t xml:space="preserve">l promovente haya acreditado ser </w:t>
      </w:r>
      <w:r>
        <w:rPr>
          <w:rFonts w:ascii="Calibri" w:hAnsi="Calibri"/>
          <w:color w:val="7F7F7F" w:themeColor="text1" w:themeTint="80"/>
          <w:sz w:val="26"/>
          <w:szCs w:val="26"/>
        </w:rPr>
        <w:t>e</w:t>
      </w:r>
      <w:r w:rsidRPr="00CF6D39">
        <w:rPr>
          <w:rFonts w:ascii="Calibri" w:hAnsi="Calibri"/>
          <w:color w:val="7F7F7F" w:themeColor="text1" w:themeTint="80"/>
          <w:sz w:val="26"/>
          <w:szCs w:val="26"/>
        </w:rPr>
        <w:t>l propietari</w:t>
      </w:r>
      <w:r>
        <w:rPr>
          <w:rFonts w:ascii="Calibri" w:hAnsi="Calibri"/>
          <w:color w:val="7F7F7F" w:themeColor="text1" w:themeTint="80"/>
          <w:sz w:val="26"/>
          <w:szCs w:val="26"/>
        </w:rPr>
        <w:t>o</w:t>
      </w:r>
      <w:r w:rsidR="006C5D09">
        <w:rPr>
          <w:rFonts w:ascii="Calibri" w:hAnsi="Calibri"/>
          <w:color w:val="7F7F7F" w:themeColor="text1" w:themeTint="80"/>
          <w:sz w:val="26"/>
          <w:szCs w:val="26"/>
        </w:rPr>
        <w:t>, poseedor o</w:t>
      </w:r>
      <w:r w:rsidRPr="00CF6D39">
        <w:rPr>
          <w:rFonts w:ascii="Calibri" w:hAnsi="Calibri"/>
          <w:color w:val="7F7F7F" w:themeColor="text1" w:themeTint="80"/>
          <w:sz w:val="26"/>
          <w:szCs w:val="26"/>
        </w:rPr>
        <w:t xml:space="preserve">, por lo menos, </w:t>
      </w:r>
      <w:r>
        <w:rPr>
          <w:rFonts w:ascii="Calibri" w:hAnsi="Calibri"/>
          <w:color w:val="7F7F7F" w:themeColor="text1" w:themeTint="80"/>
          <w:sz w:val="26"/>
          <w:szCs w:val="26"/>
        </w:rPr>
        <w:t>e</w:t>
      </w:r>
      <w:r w:rsidRPr="00CF6D39">
        <w:rPr>
          <w:rFonts w:ascii="Calibri" w:hAnsi="Calibri"/>
          <w:color w:val="7F7F7F" w:themeColor="text1" w:themeTint="80"/>
          <w:sz w:val="26"/>
          <w:szCs w:val="26"/>
          <w:u w:val="single"/>
        </w:rPr>
        <w:t>l conductor de dicho vehículo, el día de los hechos</w:t>
      </w:r>
      <w:r w:rsidRPr="00CF6D39">
        <w:rPr>
          <w:rFonts w:ascii="Calibri" w:hAnsi="Calibri"/>
          <w:color w:val="7F7F7F" w:themeColor="text1" w:themeTint="80"/>
          <w:sz w:val="26"/>
          <w:szCs w:val="26"/>
        </w:rPr>
        <w:t>; por lo que en realidad carece de interés jurídico en el presente asunto y no está en aptitud de solicitar la nulidad del acto impugnado</w:t>
      </w:r>
      <w:r w:rsidR="00DE60B1">
        <w:rPr>
          <w:rFonts w:ascii="Calibri" w:hAnsi="Calibri"/>
          <w:color w:val="7F7F7F" w:themeColor="text1" w:themeTint="80"/>
          <w:sz w:val="26"/>
          <w:szCs w:val="26"/>
        </w:rPr>
        <w:t>;</w:t>
      </w:r>
      <w:r w:rsidR="00EF225D" w:rsidRPr="00DE60B1">
        <w:rPr>
          <w:rFonts w:ascii="Calibri" w:hAnsi="Calibri"/>
          <w:color w:val="7F7F7F" w:themeColor="text1" w:themeTint="80"/>
          <w:sz w:val="26"/>
          <w:szCs w:val="26"/>
        </w:rPr>
        <w:t xml:space="preserve"> destacando, por ser importante, que en el proceso administrativo, de acuerdo al primer párrafo del artículo 22 del Código de Procedimiento y Justicia Administrativa en vigor en el Estado, no procede la gestión oficiosa</w:t>
      </w:r>
      <w:r w:rsidRPr="00DE60B1">
        <w:rPr>
          <w:rFonts w:ascii="Calibri" w:hAnsi="Calibri"/>
          <w:color w:val="7F7F7F" w:themeColor="text1" w:themeTint="80"/>
          <w:sz w:val="26"/>
          <w:szCs w:val="26"/>
        </w:rPr>
        <w:t>. . . . . . . . . . . . . . . . . . . . . . . . .</w:t>
      </w:r>
      <w:r w:rsidR="00DE60B1">
        <w:rPr>
          <w:rFonts w:ascii="Calibri" w:hAnsi="Calibri"/>
          <w:color w:val="7F7F7F" w:themeColor="text1" w:themeTint="80"/>
          <w:sz w:val="26"/>
          <w:szCs w:val="26"/>
        </w:rPr>
        <w:t xml:space="preserve"> . . . . . . . . . . . . </w:t>
      </w:r>
    </w:p>
    <w:p w:rsidR="00654803" w:rsidRPr="00CF6D39" w:rsidRDefault="00654803" w:rsidP="00654803">
      <w:pPr>
        <w:pStyle w:val="Sangra3detindependiente"/>
        <w:ind w:left="0" w:firstLine="283"/>
        <w:jc w:val="both"/>
        <w:rPr>
          <w:rFonts w:ascii="Calibri" w:hAnsi="Calibri"/>
          <w:color w:val="7F7F7F" w:themeColor="text1" w:themeTint="80"/>
          <w:sz w:val="26"/>
          <w:szCs w:val="26"/>
        </w:rPr>
      </w:pPr>
    </w:p>
    <w:p w:rsidR="00654803" w:rsidRPr="00654803" w:rsidRDefault="00654803" w:rsidP="00654803">
      <w:pPr>
        <w:pStyle w:val="Sangra3detindependiente"/>
        <w:ind w:left="0" w:firstLine="283"/>
        <w:jc w:val="both"/>
        <w:rPr>
          <w:rFonts w:ascii="Calibri" w:hAnsi="Calibri"/>
          <w:i/>
          <w:color w:val="7F7F7F" w:themeColor="text1" w:themeTint="80"/>
          <w:sz w:val="26"/>
          <w:szCs w:val="26"/>
        </w:rPr>
      </w:pPr>
      <w:r w:rsidRPr="00CF6D39">
        <w:rPr>
          <w:rFonts w:ascii="Calibri" w:hAnsi="Calibri"/>
          <w:color w:val="7F7F7F" w:themeColor="text1" w:themeTint="80"/>
          <w:sz w:val="26"/>
          <w:szCs w:val="26"/>
        </w:rPr>
        <w:t>En virtud de lo antes expresado y, además, considerando que la doctrina jurídica en materia administrativa, define al interés jurídico como el: "</w:t>
      </w:r>
      <w:r w:rsidRPr="00CF6D39">
        <w:rPr>
          <w:rFonts w:ascii="Calibri" w:hAnsi="Calibri"/>
          <w:i/>
          <w:iCs/>
          <w:color w:val="7F7F7F" w:themeColor="text1" w:themeTint="80"/>
          <w:sz w:val="26"/>
          <w:szCs w:val="26"/>
        </w:rPr>
        <w:t>Derecho subjetivo de carácter administrativo"</w:t>
      </w:r>
      <w:r w:rsidRPr="00CF6D39">
        <w:rPr>
          <w:rFonts w:ascii="Calibri" w:hAnsi="Calibri"/>
          <w:color w:val="7F7F7F" w:themeColor="text1" w:themeTint="80"/>
          <w:sz w:val="26"/>
          <w:szCs w:val="26"/>
        </w:rPr>
        <w:t xml:space="preserve">; y el Tratadista Manuel Lucero Espinosa en su obra </w:t>
      </w:r>
      <w:r w:rsidRPr="00CF6D39">
        <w:rPr>
          <w:rFonts w:ascii="Calibri" w:hAnsi="Calibri"/>
          <w:i/>
          <w:iCs/>
          <w:color w:val="7F7F7F" w:themeColor="text1" w:themeTint="80"/>
          <w:sz w:val="26"/>
          <w:szCs w:val="26"/>
        </w:rPr>
        <w:t xml:space="preserve">“Teoría y Práctica del Contencioso Administrativo ante el Tribunal Fiscal de la Federación”, </w:t>
      </w:r>
      <w:r w:rsidRPr="00CF6D39">
        <w:rPr>
          <w:rFonts w:ascii="Calibri" w:hAnsi="Calibri"/>
          <w:color w:val="7F7F7F" w:themeColor="text1" w:themeTint="80"/>
          <w:sz w:val="26"/>
          <w:szCs w:val="26"/>
        </w:rPr>
        <w:t>Cuarta Edición aumentada, Editorial Porrúa, en la página 48 cuarenta y ocho, define el derecho subjetivo de carácter administrativo como: “</w:t>
      </w:r>
      <w:r w:rsidRPr="00CF6D39">
        <w:rPr>
          <w:rFonts w:ascii="Calibri" w:hAnsi="Calibri"/>
          <w:i/>
          <w:color w:val="7F7F7F" w:themeColor="text1" w:themeTint="80"/>
          <w:sz w:val="26"/>
          <w:szCs w:val="26"/>
        </w:rPr>
        <w:t>Aquel que se encuentra establecido por una Ley, Decreto, Reglamento, Resolución, Contrato u otra disposición administrativa que regula la actividad de la autoridad administrativa y limita su poder.”</w:t>
      </w:r>
      <w:r w:rsidRPr="00CF6D39">
        <w:rPr>
          <w:rFonts w:ascii="Calibri" w:hAnsi="Calibri"/>
          <w:iCs/>
          <w:color w:val="7F7F7F" w:themeColor="text1" w:themeTint="80"/>
          <w:sz w:val="26"/>
          <w:szCs w:val="26"/>
        </w:rPr>
        <w:t xml:space="preserve"> Se </w:t>
      </w:r>
      <w:r w:rsidR="00A90EBC">
        <w:rPr>
          <w:rFonts w:ascii="Calibri" w:hAnsi="Calibri"/>
          <w:iCs/>
          <w:color w:val="7F7F7F" w:themeColor="text1" w:themeTint="80"/>
          <w:sz w:val="26"/>
          <w:szCs w:val="26"/>
        </w:rPr>
        <w:t>despr</w:t>
      </w:r>
      <w:r w:rsidRPr="00CF6D39">
        <w:rPr>
          <w:rFonts w:ascii="Calibri" w:hAnsi="Calibri"/>
          <w:iCs/>
          <w:color w:val="7F7F7F" w:themeColor="text1" w:themeTint="80"/>
          <w:sz w:val="26"/>
          <w:szCs w:val="26"/>
        </w:rPr>
        <w:t>en</w:t>
      </w:r>
      <w:r w:rsidR="00A90EBC">
        <w:rPr>
          <w:rFonts w:ascii="Calibri" w:hAnsi="Calibri"/>
          <w:iCs/>
          <w:color w:val="7F7F7F" w:themeColor="text1" w:themeTint="80"/>
          <w:sz w:val="26"/>
          <w:szCs w:val="26"/>
        </w:rPr>
        <w:t>d</w:t>
      </w:r>
      <w:r w:rsidRPr="00CF6D39">
        <w:rPr>
          <w:rFonts w:ascii="Calibri" w:hAnsi="Calibri"/>
          <w:iCs/>
          <w:color w:val="7F7F7F" w:themeColor="text1" w:themeTint="80"/>
          <w:sz w:val="26"/>
          <w:szCs w:val="26"/>
        </w:rPr>
        <w:t xml:space="preserve">e que </w:t>
      </w:r>
      <w:r w:rsidRPr="00CF6D39">
        <w:rPr>
          <w:rFonts w:ascii="Calibri" w:hAnsi="Calibri"/>
          <w:color w:val="7F7F7F" w:themeColor="text1" w:themeTint="80"/>
          <w:sz w:val="26"/>
          <w:szCs w:val="26"/>
        </w:rPr>
        <w:t xml:space="preserve">en la presente causa administrativa, no se cumple con el requisito </w:t>
      </w:r>
      <w:r w:rsidRPr="00CF6D39">
        <w:rPr>
          <w:rFonts w:ascii="Calibri" w:hAnsi="Calibri"/>
          <w:i/>
          <w:iCs/>
          <w:color w:val="7F7F7F" w:themeColor="text1" w:themeTint="80"/>
          <w:sz w:val="26"/>
          <w:szCs w:val="26"/>
        </w:rPr>
        <w:t xml:space="preserve">“Sine qua non”, </w:t>
      </w:r>
      <w:r w:rsidRPr="00CF6D39">
        <w:rPr>
          <w:rFonts w:ascii="Calibri" w:hAnsi="Calibri"/>
          <w:color w:val="7F7F7F" w:themeColor="text1" w:themeTint="80"/>
          <w:sz w:val="26"/>
          <w:szCs w:val="26"/>
        </w:rPr>
        <w:t xml:space="preserve">de que </w:t>
      </w:r>
      <w:r>
        <w:rPr>
          <w:rFonts w:ascii="Calibri" w:hAnsi="Calibri"/>
          <w:color w:val="7F7F7F" w:themeColor="text1" w:themeTint="80"/>
          <w:sz w:val="26"/>
          <w:szCs w:val="26"/>
        </w:rPr>
        <w:t>e</w:t>
      </w:r>
      <w:r w:rsidRPr="00CF6D39">
        <w:rPr>
          <w:rFonts w:ascii="Calibri" w:hAnsi="Calibri"/>
          <w:color w:val="7F7F7F" w:themeColor="text1" w:themeTint="80"/>
          <w:sz w:val="26"/>
          <w:szCs w:val="26"/>
        </w:rPr>
        <w:t>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w:t>
      </w:r>
      <w:r w:rsidR="00A90EBC">
        <w:rPr>
          <w:rFonts w:ascii="Calibri" w:hAnsi="Calibri"/>
          <w:color w:val="7F7F7F" w:themeColor="text1" w:themeTint="80"/>
          <w:sz w:val="26"/>
          <w:szCs w:val="26"/>
        </w:rPr>
        <w:t xml:space="preserve">onante. . . . </w:t>
      </w:r>
      <w:r w:rsidR="00DE60B1">
        <w:rPr>
          <w:rFonts w:ascii="Calibri" w:hAnsi="Calibri"/>
          <w:color w:val="7F7F7F" w:themeColor="text1" w:themeTint="80"/>
          <w:sz w:val="26"/>
          <w:szCs w:val="26"/>
        </w:rPr>
        <w:t xml:space="preserve">. . . . . . . . . . . . . . . . . . . . . . . . . . . . . . . . . . . . . . . . . . . . . . . . . . . . . . . . </w:t>
      </w:r>
    </w:p>
    <w:p w:rsidR="00654803" w:rsidRPr="00CF6D39" w:rsidRDefault="00654803" w:rsidP="00654803">
      <w:pPr>
        <w:pStyle w:val="Sangra3detindependiente"/>
        <w:ind w:left="0"/>
        <w:jc w:val="both"/>
        <w:rPr>
          <w:rFonts w:ascii="Calibri" w:hAnsi="Calibri"/>
          <w:color w:val="7F7F7F" w:themeColor="text1" w:themeTint="80"/>
          <w:sz w:val="26"/>
          <w:szCs w:val="26"/>
        </w:rPr>
      </w:pPr>
    </w:p>
    <w:p w:rsidR="00DE60B1" w:rsidRDefault="00654803" w:rsidP="00654803">
      <w:pPr>
        <w:pStyle w:val="Sangra3detindependiente"/>
        <w:ind w:left="0" w:firstLine="283"/>
        <w:jc w:val="both"/>
        <w:rPr>
          <w:rFonts w:ascii="Calibri" w:hAnsi="Calibri"/>
          <w:color w:val="7F7F7F" w:themeColor="text1" w:themeTint="80"/>
          <w:sz w:val="26"/>
          <w:szCs w:val="26"/>
        </w:rPr>
      </w:pPr>
      <w:r w:rsidRPr="00CF6D39">
        <w:rPr>
          <w:rFonts w:ascii="Calibri" w:hAnsi="Calibri"/>
          <w:color w:val="7F7F7F" w:themeColor="text1" w:themeTint="80"/>
          <w:sz w:val="26"/>
          <w:szCs w:val="26"/>
        </w:rPr>
        <w:t xml:space="preserve">      Por lo que al quedar dem</w:t>
      </w:r>
      <w:r w:rsidR="00DE60B1">
        <w:rPr>
          <w:rFonts w:ascii="Calibri" w:hAnsi="Calibri"/>
          <w:color w:val="7F7F7F" w:themeColor="text1" w:themeTint="80"/>
          <w:sz w:val="26"/>
          <w:szCs w:val="26"/>
        </w:rPr>
        <w:t>ostr</w:t>
      </w:r>
      <w:r w:rsidRPr="00CF6D39">
        <w:rPr>
          <w:rFonts w:ascii="Calibri" w:hAnsi="Calibri"/>
          <w:color w:val="7F7F7F" w:themeColor="text1" w:themeTint="80"/>
          <w:sz w:val="26"/>
          <w:szCs w:val="26"/>
        </w:rPr>
        <w:t xml:space="preserve">ado que el acto impugnado no afecta el interés jurídico de la parte actora, porque el acta de infracción no se encuentra </w:t>
      </w:r>
    </w:p>
    <w:p w:rsidR="00DE60B1" w:rsidRDefault="00DE60B1" w:rsidP="00DE60B1">
      <w:pPr>
        <w:jc w:val="right"/>
        <w:rPr>
          <w:rFonts w:ascii="Calibri" w:hAnsi="Calibri" w:cs="Calibri"/>
          <w:b/>
          <w:bCs/>
          <w:iCs/>
          <w:color w:val="7F7F7F" w:themeColor="text1" w:themeTint="80"/>
          <w:sz w:val="26"/>
          <w:szCs w:val="26"/>
        </w:rPr>
      </w:pPr>
      <w:r>
        <w:rPr>
          <w:rFonts w:ascii="Calibri" w:hAnsi="Calibri" w:cs="Calibri"/>
          <w:b/>
          <w:bCs/>
          <w:iCs/>
          <w:color w:val="7F7F7F" w:themeColor="text1" w:themeTint="80"/>
          <w:sz w:val="26"/>
          <w:szCs w:val="26"/>
        </w:rPr>
        <w:t>Expediente número 1016/2015-JN</w:t>
      </w:r>
    </w:p>
    <w:p w:rsidR="00DE60B1" w:rsidRDefault="00DE60B1" w:rsidP="00654803">
      <w:pPr>
        <w:pStyle w:val="Sangra3detindependiente"/>
        <w:ind w:left="0" w:firstLine="283"/>
        <w:jc w:val="both"/>
        <w:rPr>
          <w:rFonts w:ascii="Calibri" w:hAnsi="Calibri"/>
          <w:color w:val="7F7F7F" w:themeColor="text1" w:themeTint="80"/>
          <w:sz w:val="26"/>
          <w:szCs w:val="26"/>
        </w:rPr>
      </w:pPr>
    </w:p>
    <w:p w:rsidR="00692819" w:rsidRDefault="00654803" w:rsidP="00DE60B1">
      <w:pPr>
        <w:pStyle w:val="Sangra3detindependiente"/>
        <w:ind w:left="0"/>
        <w:jc w:val="both"/>
        <w:rPr>
          <w:rFonts w:ascii="Calibri" w:hAnsi="Calibri"/>
          <w:color w:val="7F7F7F" w:themeColor="text1" w:themeTint="80"/>
          <w:sz w:val="26"/>
          <w:szCs w:val="26"/>
        </w:rPr>
      </w:pPr>
      <w:r w:rsidRPr="00CF6D39">
        <w:rPr>
          <w:rFonts w:ascii="Calibri" w:hAnsi="Calibri"/>
          <w:color w:val="7F7F7F" w:themeColor="text1" w:themeTint="80"/>
          <w:sz w:val="26"/>
          <w:szCs w:val="26"/>
        </w:rPr>
        <w:t xml:space="preserve">expedida a su nombre, ni acredita la propiedad, posesión o ser </w:t>
      </w:r>
      <w:r>
        <w:rPr>
          <w:rFonts w:ascii="Calibri" w:hAnsi="Calibri"/>
          <w:color w:val="7F7F7F" w:themeColor="text1" w:themeTint="80"/>
          <w:sz w:val="26"/>
          <w:szCs w:val="26"/>
        </w:rPr>
        <w:t>e</w:t>
      </w:r>
      <w:r w:rsidRPr="00CF6D39">
        <w:rPr>
          <w:rFonts w:ascii="Calibri" w:hAnsi="Calibri"/>
          <w:color w:val="7F7F7F" w:themeColor="text1" w:themeTint="80"/>
          <w:sz w:val="26"/>
          <w:szCs w:val="26"/>
        </w:rPr>
        <w:t xml:space="preserve">l conductor del vehículo objeto de la infracción el día de los hechos; se actualiza la hipótesis de improcedencia prevista en la fracción I, del artículo 261 del Código de Procedimiento y Justicia Administrativa antes citado; por lo que es procedente </w:t>
      </w:r>
      <w:r w:rsidRPr="00CF6D39">
        <w:rPr>
          <w:rFonts w:ascii="Calibri" w:hAnsi="Calibri"/>
          <w:b/>
          <w:iCs/>
          <w:color w:val="7F7F7F" w:themeColor="text1" w:themeTint="80"/>
          <w:sz w:val="26"/>
          <w:szCs w:val="26"/>
        </w:rPr>
        <w:t xml:space="preserve">sobreseer </w:t>
      </w:r>
      <w:r w:rsidRPr="00CF6D39">
        <w:rPr>
          <w:rFonts w:ascii="Calibri" w:hAnsi="Calibri"/>
          <w:color w:val="7F7F7F" w:themeColor="text1" w:themeTint="80"/>
          <w:sz w:val="26"/>
          <w:szCs w:val="26"/>
        </w:rPr>
        <w:t xml:space="preserve">el presente proceso administrativo, con sustento en lo establecido por el artículo 262, fracción II, del Código de Procedimiento y Justicia Administrativa para el Estado y los Municipios de Guanajuato . . . . . . . . . . . . . . . . </w:t>
      </w:r>
      <w:r>
        <w:rPr>
          <w:rFonts w:ascii="Calibri" w:hAnsi="Calibri"/>
          <w:color w:val="7F7F7F" w:themeColor="text1" w:themeTint="80"/>
          <w:sz w:val="26"/>
          <w:szCs w:val="26"/>
        </w:rPr>
        <w:t>. . . . . . . . . . . . . .</w:t>
      </w:r>
    </w:p>
    <w:p w:rsidR="00692819" w:rsidRDefault="00692819" w:rsidP="00654803">
      <w:pPr>
        <w:pStyle w:val="Sangra3detindependiente"/>
        <w:ind w:left="0" w:firstLine="283"/>
        <w:jc w:val="both"/>
        <w:rPr>
          <w:rFonts w:ascii="Calibri" w:hAnsi="Calibri"/>
          <w:color w:val="7F7F7F" w:themeColor="text1" w:themeTint="80"/>
          <w:sz w:val="26"/>
          <w:szCs w:val="26"/>
        </w:rPr>
      </w:pPr>
    </w:p>
    <w:p w:rsidR="00692819" w:rsidRDefault="00692819" w:rsidP="00654803">
      <w:pPr>
        <w:pStyle w:val="Sangra3detindependiente"/>
        <w:ind w:left="0" w:firstLine="283"/>
        <w:jc w:val="both"/>
        <w:rPr>
          <w:rFonts w:ascii="Calibri" w:hAnsi="Calibri"/>
          <w:color w:val="7F7F7F" w:themeColor="text1" w:themeTint="80"/>
          <w:sz w:val="26"/>
          <w:szCs w:val="26"/>
        </w:rPr>
      </w:pPr>
      <w:r>
        <w:rPr>
          <w:rFonts w:ascii="Calibri" w:hAnsi="Calibri"/>
          <w:color w:val="7F7F7F" w:themeColor="text1" w:themeTint="80"/>
          <w:sz w:val="26"/>
          <w:szCs w:val="26"/>
        </w:rPr>
        <w:tab/>
      </w:r>
      <w:r w:rsidRPr="006E6536">
        <w:rPr>
          <w:rFonts w:ascii="Calibri" w:hAnsi="Calibri"/>
          <w:color w:val="7F7F7F" w:themeColor="text1" w:themeTint="80"/>
          <w:sz w:val="26"/>
          <w:szCs w:val="26"/>
        </w:rPr>
        <w:t xml:space="preserve">Sirve de apoyo a lo anterior, </w:t>
      </w:r>
      <w:r w:rsidR="006C5D09" w:rsidRPr="006E6536">
        <w:rPr>
          <w:rFonts w:ascii="Calibri" w:hAnsi="Calibri"/>
          <w:color w:val="7F7F7F" w:themeColor="text1" w:themeTint="80"/>
          <w:sz w:val="26"/>
          <w:szCs w:val="26"/>
        </w:rPr>
        <w:t xml:space="preserve">a contrario sensu, </w:t>
      </w:r>
      <w:r w:rsidRPr="006E6536">
        <w:rPr>
          <w:rFonts w:ascii="Calibri" w:hAnsi="Calibri"/>
          <w:color w:val="7F7F7F" w:themeColor="text1" w:themeTint="80"/>
          <w:sz w:val="26"/>
          <w:szCs w:val="26"/>
        </w:rPr>
        <w:t>el criterio que sostiene la Tercera Sala del Tribunal de lo Contencioso Administrativo del Estado, que a la letra dice:</w:t>
      </w:r>
      <w:r w:rsidR="00DE60B1">
        <w:rPr>
          <w:rFonts w:ascii="Calibri" w:hAnsi="Calibri"/>
          <w:color w:val="7F7F7F" w:themeColor="text1" w:themeTint="80"/>
          <w:sz w:val="26"/>
          <w:szCs w:val="26"/>
        </w:rPr>
        <w:t xml:space="preserve"> . . . . . . . . . . . . . . . . . . . . . . . . . . . . . . . . . . . . . . . . . . . . . . . . . . . . . . . . . . . . </w:t>
      </w:r>
    </w:p>
    <w:p w:rsidR="00692819" w:rsidRPr="00DE60B1" w:rsidRDefault="00692819" w:rsidP="00DE60B1">
      <w:pPr>
        <w:pStyle w:val="Sangra3detindependiente"/>
        <w:ind w:left="0" w:firstLine="283"/>
        <w:jc w:val="both"/>
        <w:rPr>
          <w:rFonts w:ascii="Calibri" w:hAnsi="Calibri"/>
          <w:b/>
          <w:color w:val="7F7F7F" w:themeColor="text1" w:themeTint="80"/>
          <w:sz w:val="20"/>
          <w:szCs w:val="20"/>
        </w:rPr>
      </w:pPr>
    </w:p>
    <w:p w:rsidR="00692819" w:rsidRPr="00DE60B1" w:rsidRDefault="006C5D09" w:rsidP="006C5D09">
      <w:pPr>
        <w:pStyle w:val="Sangra3detindependiente"/>
        <w:ind w:left="0" w:firstLine="708"/>
        <w:jc w:val="both"/>
        <w:rPr>
          <w:rFonts w:ascii="Calibri" w:hAnsi="Calibri"/>
          <w:b/>
          <w:i/>
          <w:color w:val="7F7F7F" w:themeColor="text1" w:themeTint="80"/>
          <w:sz w:val="22"/>
          <w:szCs w:val="22"/>
        </w:rPr>
      </w:pPr>
      <w:r w:rsidRPr="00DE60B1">
        <w:rPr>
          <w:rStyle w:val="Textoennegrita"/>
          <w:rFonts w:ascii="Calibri" w:hAnsi="Calibri"/>
          <w:i/>
          <w:color w:val="7F7F7F" w:themeColor="text1" w:themeTint="80"/>
          <w:sz w:val="26"/>
          <w:szCs w:val="26"/>
        </w:rPr>
        <w:t>“</w:t>
      </w:r>
      <w:r w:rsidR="00692819" w:rsidRPr="00DE60B1">
        <w:rPr>
          <w:rStyle w:val="Textoennegrita"/>
          <w:rFonts w:ascii="Calibri" w:hAnsi="Calibri"/>
          <w:i/>
          <w:color w:val="7F7F7F" w:themeColor="text1" w:themeTint="80"/>
          <w:sz w:val="26"/>
          <w:szCs w:val="26"/>
        </w:rPr>
        <w:t>INTERÉS JURÍDICO. LO TIENEN QUIENES SON DESTINATARIOS DE UN ACTO ADMINISTRATIVO.</w:t>
      </w:r>
      <w:r w:rsidR="00692819" w:rsidRPr="00DE60B1">
        <w:rPr>
          <w:rFonts w:ascii="Calibri" w:hAnsi="Calibri"/>
          <w:i/>
          <w:color w:val="7F7F7F" w:themeColor="text1" w:themeTint="80"/>
          <w:sz w:val="26"/>
          <w:szCs w:val="26"/>
        </w:rPr>
        <w:t>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00692819" w:rsidRPr="006E6536">
        <w:rPr>
          <w:rFonts w:ascii="Calibri" w:hAnsi="Calibri"/>
          <w:i/>
          <w:color w:val="7F7F7F" w:themeColor="text1" w:themeTint="80"/>
          <w:sz w:val="20"/>
          <w:szCs w:val="20"/>
        </w:rPr>
        <w:br/>
      </w:r>
      <w:r w:rsidR="00692819" w:rsidRPr="00DE60B1">
        <w:rPr>
          <w:rStyle w:val="nfasis"/>
          <w:rFonts w:ascii="Calibri" w:hAnsi="Calibri"/>
          <w:i w:val="0"/>
          <w:color w:val="7F7F7F" w:themeColor="text1" w:themeTint="80"/>
          <w:sz w:val="22"/>
          <w:szCs w:val="22"/>
        </w:rPr>
        <w:t>EXP. NUM. 19/954/1994. SENTENCIA DE FECHA 9 DE ENERO DE 1994. ACTOR: JESÚS SÁNCHEZ TRAPP.</w:t>
      </w:r>
      <w:r w:rsidRPr="00DE60B1">
        <w:rPr>
          <w:rStyle w:val="nfasis"/>
          <w:rFonts w:ascii="Calibri" w:hAnsi="Calibri"/>
          <w:b/>
          <w:i w:val="0"/>
          <w:color w:val="7F7F7F" w:themeColor="text1" w:themeTint="80"/>
          <w:sz w:val="22"/>
          <w:szCs w:val="22"/>
        </w:rPr>
        <w:t>”</w:t>
      </w:r>
      <w:r w:rsidR="00DE60B1">
        <w:rPr>
          <w:rFonts w:ascii="Calibri" w:hAnsi="Calibri"/>
          <w:color w:val="7F7F7F" w:themeColor="text1" w:themeTint="80"/>
          <w:sz w:val="26"/>
          <w:szCs w:val="26"/>
        </w:rPr>
        <w:t xml:space="preserve">. . . . . . . . . . . . . . . . . . . . . . . . . . . . . . . . . . . . . . . . . . . . . . . . . . . . . . . . . . . . . . . </w:t>
      </w:r>
    </w:p>
    <w:p w:rsidR="00654803" w:rsidRPr="006E6536" w:rsidRDefault="00654803" w:rsidP="00654803">
      <w:pPr>
        <w:pStyle w:val="Sangra3detindependiente"/>
        <w:ind w:left="0"/>
        <w:jc w:val="both"/>
        <w:rPr>
          <w:rFonts w:ascii="Calibri" w:hAnsi="Calibri"/>
          <w:color w:val="7F7F7F" w:themeColor="text1" w:themeTint="80"/>
          <w:sz w:val="26"/>
          <w:szCs w:val="26"/>
        </w:rPr>
      </w:pPr>
    </w:p>
    <w:p w:rsidR="00654803" w:rsidRPr="00CF6D39" w:rsidRDefault="00654803" w:rsidP="00654803">
      <w:pPr>
        <w:pStyle w:val="Sangra3detindependiente"/>
        <w:ind w:left="0" w:firstLine="283"/>
        <w:jc w:val="both"/>
        <w:rPr>
          <w:rFonts w:ascii="Calibri" w:hAnsi="Calibri"/>
          <w:color w:val="7F7F7F" w:themeColor="text1" w:themeTint="80"/>
          <w:sz w:val="26"/>
          <w:szCs w:val="26"/>
        </w:rPr>
      </w:pPr>
      <w:r w:rsidRPr="00CF6D39">
        <w:rPr>
          <w:rFonts w:ascii="Calibri" w:hAnsi="Calibri"/>
          <w:b/>
          <w:bCs/>
          <w:i/>
          <w:iCs/>
          <w:color w:val="7F7F7F" w:themeColor="text1" w:themeTint="80"/>
          <w:sz w:val="26"/>
          <w:szCs w:val="26"/>
        </w:rPr>
        <w:t xml:space="preserve">      QUINTO.- </w:t>
      </w:r>
      <w:r w:rsidRPr="00CF6D39">
        <w:rPr>
          <w:rFonts w:ascii="Calibri" w:hAnsi="Calibri"/>
          <w:color w:val="7F7F7F" w:themeColor="text1" w:themeTint="80"/>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pues en nada variaría el sentido de esta resolución; de igual forma no se entrará al estudio de los conceptos de impugnación expresados por </w:t>
      </w:r>
      <w:r>
        <w:rPr>
          <w:rFonts w:ascii="Calibri" w:hAnsi="Calibri"/>
          <w:color w:val="7F7F7F" w:themeColor="text1" w:themeTint="80"/>
          <w:sz w:val="26"/>
          <w:szCs w:val="26"/>
        </w:rPr>
        <w:t>e</w:t>
      </w:r>
      <w:r w:rsidRPr="00CF6D39">
        <w:rPr>
          <w:rFonts w:ascii="Calibri" w:hAnsi="Calibri"/>
          <w:color w:val="7F7F7F" w:themeColor="text1" w:themeTint="80"/>
          <w:sz w:val="26"/>
          <w:szCs w:val="26"/>
        </w:rPr>
        <w:t>l actor, ni de sus pretensiones; pues el sobreseimiento del proceso, impide conocer respecto del fondo del asunto. . . . . . . . . . . . . . . . . . . . . . . . . . . . . . . . . . . . . . .</w:t>
      </w:r>
      <w:r w:rsidR="00DE60B1">
        <w:rPr>
          <w:rFonts w:ascii="Calibri" w:hAnsi="Calibri"/>
          <w:color w:val="7F7F7F" w:themeColor="text1" w:themeTint="80"/>
          <w:sz w:val="26"/>
          <w:szCs w:val="26"/>
        </w:rPr>
        <w:t xml:space="preserve"> . . . . . . . . . . . .  . . .</w:t>
      </w:r>
    </w:p>
    <w:p w:rsidR="00654803" w:rsidRPr="00CF6D39" w:rsidRDefault="00654803" w:rsidP="00654803">
      <w:pPr>
        <w:jc w:val="both"/>
        <w:rPr>
          <w:rFonts w:ascii="Calibri" w:hAnsi="Calibri"/>
          <w:color w:val="7F7F7F" w:themeColor="text1" w:themeTint="80"/>
          <w:sz w:val="26"/>
          <w:szCs w:val="26"/>
        </w:rPr>
      </w:pPr>
    </w:p>
    <w:p w:rsidR="00654803" w:rsidRPr="00CF6D39" w:rsidRDefault="00654803" w:rsidP="00654803">
      <w:pPr>
        <w:pStyle w:val="Textoindependiente"/>
        <w:ind w:firstLine="708"/>
        <w:rPr>
          <w:rFonts w:ascii="Calibri" w:hAnsi="Calibri" w:cs="Arial"/>
          <w:color w:val="7F7F7F" w:themeColor="text1" w:themeTint="80"/>
          <w:sz w:val="26"/>
          <w:szCs w:val="26"/>
        </w:rPr>
      </w:pPr>
      <w:r w:rsidRPr="00CF6D39">
        <w:rPr>
          <w:rFonts w:ascii="Calibri" w:hAnsi="Calibri" w:cs="Arial"/>
          <w:color w:val="7F7F7F" w:themeColor="text1" w:themeTint="80"/>
          <w:sz w:val="26"/>
          <w:szCs w:val="26"/>
        </w:rPr>
        <w:t xml:space="preserve">Por lo expuesto, y con fundamento además en lo dispuesto en los artículos 249, 261 fracción I, 262 fracción II, 298 y 299, del </w:t>
      </w:r>
      <w:r w:rsidRPr="00CF6D39">
        <w:rPr>
          <w:rFonts w:ascii="Calibri" w:hAnsi="Calibri"/>
          <w:color w:val="7F7F7F" w:themeColor="text1" w:themeTint="80"/>
          <w:sz w:val="26"/>
          <w:szCs w:val="26"/>
        </w:rPr>
        <w:t>Código de Procedimiento y Justicia Administrativa para el Estado y los Municipios de Guanajuato,</w:t>
      </w:r>
      <w:r w:rsidRPr="00CF6D39">
        <w:rPr>
          <w:rFonts w:ascii="Calibri" w:hAnsi="Calibri" w:cs="Arial"/>
          <w:color w:val="7F7F7F" w:themeColor="text1" w:themeTint="80"/>
          <w:sz w:val="26"/>
          <w:szCs w:val="26"/>
        </w:rPr>
        <w:t xml:space="preserve"> es de resolverse y se. . . . . . . . . . . . . . . . . . . . . . . . . . . . . . . . . . . . . . . . </w:t>
      </w:r>
      <w:r>
        <w:rPr>
          <w:rFonts w:ascii="Calibri" w:hAnsi="Calibri" w:cs="Arial"/>
          <w:color w:val="7F7F7F" w:themeColor="text1" w:themeTint="80"/>
          <w:sz w:val="26"/>
          <w:szCs w:val="26"/>
        </w:rPr>
        <w:t xml:space="preserve">. . . . . . . . . . . . . . . . . </w:t>
      </w:r>
    </w:p>
    <w:p w:rsidR="00654803" w:rsidRPr="00CF6D39" w:rsidRDefault="00654803" w:rsidP="00654803">
      <w:pPr>
        <w:pStyle w:val="Textoindependiente"/>
        <w:ind w:firstLine="708"/>
        <w:rPr>
          <w:rFonts w:ascii="Calibri" w:hAnsi="Calibri" w:cs="Arial"/>
          <w:color w:val="7F7F7F" w:themeColor="text1" w:themeTint="80"/>
          <w:sz w:val="26"/>
          <w:szCs w:val="26"/>
        </w:rPr>
      </w:pPr>
    </w:p>
    <w:p w:rsidR="00654803" w:rsidRPr="00CF6D39" w:rsidRDefault="00654803" w:rsidP="00654803">
      <w:pPr>
        <w:pStyle w:val="Textoindependiente"/>
        <w:jc w:val="center"/>
        <w:rPr>
          <w:rFonts w:ascii="Calibri" w:hAnsi="Calibri" w:cs="Arial"/>
          <w:i/>
          <w:iCs/>
          <w:color w:val="7F7F7F" w:themeColor="text1" w:themeTint="80"/>
          <w:sz w:val="26"/>
          <w:szCs w:val="26"/>
        </w:rPr>
      </w:pPr>
      <w:r w:rsidRPr="00CF6D39">
        <w:rPr>
          <w:rFonts w:ascii="Calibri" w:hAnsi="Calibri" w:cs="Arial"/>
          <w:b/>
          <w:i/>
          <w:iCs/>
          <w:color w:val="7F7F7F" w:themeColor="text1" w:themeTint="80"/>
          <w:sz w:val="26"/>
          <w:szCs w:val="26"/>
        </w:rPr>
        <w:t xml:space="preserve">R E S U E L V E </w:t>
      </w:r>
      <w:r w:rsidRPr="00CF6D39">
        <w:rPr>
          <w:rFonts w:ascii="Calibri" w:hAnsi="Calibri" w:cs="Arial"/>
          <w:i/>
          <w:iCs/>
          <w:color w:val="7F7F7F" w:themeColor="text1" w:themeTint="80"/>
          <w:sz w:val="26"/>
          <w:szCs w:val="26"/>
        </w:rPr>
        <w:t>:</w:t>
      </w:r>
    </w:p>
    <w:p w:rsidR="00654803" w:rsidRPr="00CF6D39" w:rsidRDefault="00654803" w:rsidP="00654803">
      <w:pPr>
        <w:pStyle w:val="Textoindependiente"/>
        <w:rPr>
          <w:rFonts w:ascii="Calibri" w:hAnsi="Calibri" w:cs="Arial"/>
          <w:color w:val="7F7F7F" w:themeColor="text1" w:themeTint="80"/>
          <w:sz w:val="26"/>
          <w:szCs w:val="26"/>
        </w:rPr>
      </w:pPr>
    </w:p>
    <w:p w:rsidR="00654803" w:rsidRPr="00CF6D39" w:rsidRDefault="00654803" w:rsidP="00654803">
      <w:pPr>
        <w:pStyle w:val="Textoindependiente"/>
        <w:ind w:firstLine="708"/>
        <w:rPr>
          <w:rFonts w:ascii="Calibri" w:hAnsi="Calibri" w:cs="Arial"/>
          <w:color w:val="7F7F7F" w:themeColor="text1" w:themeTint="80"/>
          <w:sz w:val="26"/>
          <w:szCs w:val="26"/>
        </w:rPr>
      </w:pPr>
      <w:r w:rsidRPr="00CF6D39">
        <w:rPr>
          <w:rFonts w:ascii="Calibri" w:hAnsi="Calibri" w:cs="Arial"/>
          <w:b/>
          <w:bCs/>
          <w:i/>
          <w:iCs/>
          <w:color w:val="7F7F7F" w:themeColor="text1" w:themeTint="80"/>
          <w:sz w:val="26"/>
          <w:szCs w:val="26"/>
        </w:rPr>
        <w:t>PRIMERO</w:t>
      </w:r>
      <w:r w:rsidRPr="00CF6D39">
        <w:rPr>
          <w:rFonts w:ascii="Calibri" w:hAnsi="Calibri" w:cs="Arial"/>
          <w:color w:val="7F7F7F" w:themeColor="text1" w:themeTint="80"/>
          <w:sz w:val="26"/>
          <w:szCs w:val="26"/>
        </w:rPr>
        <w:t>.- Este Juzgado Segundo Administrativo Municipal resultó competente para conocer y resolver del presente proceso administrativo. . . . . . .</w:t>
      </w:r>
    </w:p>
    <w:p w:rsidR="00654803" w:rsidRPr="00CF6D39" w:rsidRDefault="00654803" w:rsidP="00654803">
      <w:pPr>
        <w:pStyle w:val="Textoindependiente"/>
        <w:ind w:firstLine="708"/>
        <w:rPr>
          <w:rFonts w:ascii="Calibri" w:hAnsi="Calibri" w:cs="Arial"/>
          <w:color w:val="7F7F7F" w:themeColor="text1" w:themeTint="80"/>
          <w:sz w:val="26"/>
          <w:szCs w:val="26"/>
        </w:rPr>
      </w:pPr>
    </w:p>
    <w:p w:rsidR="00654803" w:rsidRPr="00CF6D39" w:rsidRDefault="00654803" w:rsidP="00654803">
      <w:pPr>
        <w:pStyle w:val="Textoindependiente"/>
        <w:ind w:firstLine="708"/>
        <w:rPr>
          <w:rFonts w:ascii="Calibri" w:hAnsi="Calibri" w:cs="Arial"/>
          <w:color w:val="7F7F7F" w:themeColor="text1" w:themeTint="80"/>
          <w:sz w:val="26"/>
          <w:szCs w:val="26"/>
        </w:rPr>
      </w:pPr>
      <w:r w:rsidRPr="00CF6D39">
        <w:rPr>
          <w:rFonts w:ascii="Calibri" w:hAnsi="Calibri" w:cs="Arial"/>
          <w:b/>
          <w:bCs/>
          <w:i/>
          <w:iCs/>
          <w:color w:val="7F7F7F" w:themeColor="text1" w:themeTint="80"/>
          <w:sz w:val="26"/>
          <w:szCs w:val="26"/>
        </w:rPr>
        <w:t xml:space="preserve">SEGUNDO.- </w:t>
      </w:r>
      <w:r w:rsidRPr="00CF6D39">
        <w:rPr>
          <w:rFonts w:ascii="Calibri" w:hAnsi="Calibri" w:cs="Arial"/>
          <w:bCs/>
          <w:color w:val="7F7F7F" w:themeColor="text1" w:themeTint="80"/>
          <w:sz w:val="26"/>
          <w:szCs w:val="26"/>
        </w:rPr>
        <w:t>Se</w:t>
      </w:r>
      <w:r w:rsidRPr="00CF6D39">
        <w:rPr>
          <w:rFonts w:ascii="Calibri" w:hAnsi="Calibri" w:cs="Arial"/>
          <w:b/>
          <w:color w:val="7F7F7F" w:themeColor="text1" w:themeTint="80"/>
          <w:sz w:val="26"/>
          <w:szCs w:val="26"/>
        </w:rPr>
        <w:t xml:space="preserve">sobresee </w:t>
      </w:r>
      <w:r w:rsidRPr="00CF6D39">
        <w:rPr>
          <w:rFonts w:ascii="Calibri" w:hAnsi="Calibri" w:cs="Arial"/>
          <w:color w:val="7F7F7F" w:themeColor="text1" w:themeTint="80"/>
          <w:sz w:val="26"/>
          <w:szCs w:val="26"/>
        </w:rPr>
        <w:t>el presente proceso administrativo, por las consideraciones lógicas y jurídicas expuestas en el Considerando Cuarto de la presente resolución. . . . . . . . . . . . . . . . . . . . . . . . . . . . . . . . . . . . . . . . . . . . . . . . . . . .</w:t>
      </w:r>
    </w:p>
    <w:p w:rsidR="00654803" w:rsidRPr="00CF6D39" w:rsidRDefault="00654803" w:rsidP="00654803">
      <w:pPr>
        <w:pStyle w:val="Textoindependiente"/>
        <w:ind w:firstLine="708"/>
        <w:rPr>
          <w:rFonts w:ascii="Calibri" w:hAnsi="Calibri" w:cs="Arial"/>
          <w:b/>
          <w:bCs/>
          <w:i/>
          <w:iCs/>
          <w:color w:val="7F7F7F" w:themeColor="text1" w:themeTint="80"/>
          <w:sz w:val="26"/>
          <w:szCs w:val="26"/>
        </w:rPr>
      </w:pPr>
    </w:p>
    <w:p w:rsidR="00654803" w:rsidRPr="00CF6D39" w:rsidRDefault="00654803" w:rsidP="00654803">
      <w:pPr>
        <w:pStyle w:val="Textoindependiente"/>
        <w:ind w:firstLine="708"/>
        <w:rPr>
          <w:rFonts w:ascii="Calibri" w:hAnsi="Calibri" w:cs="Arial"/>
          <w:color w:val="7F7F7F" w:themeColor="text1" w:themeTint="80"/>
          <w:sz w:val="26"/>
          <w:szCs w:val="26"/>
        </w:rPr>
      </w:pPr>
      <w:r w:rsidRPr="00CF6D39">
        <w:rPr>
          <w:rFonts w:ascii="Calibri" w:hAnsi="Calibri" w:cs="Arial"/>
          <w:color w:val="7F7F7F" w:themeColor="text1" w:themeTint="80"/>
          <w:sz w:val="26"/>
          <w:szCs w:val="26"/>
        </w:rPr>
        <w:t xml:space="preserve">Notifíquese a la autoridad demandada por oficio y a la parte actora personalmente. . . . . . . . . . . . . . . . . . . . . . . . . . . . . . . . . . . . . . . . . . . . . . . . . . . . . . . . </w:t>
      </w:r>
    </w:p>
    <w:p w:rsidR="00654803" w:rsidRPr="00CF6D39" w:rsidRDefault="00654803" w:rsidP="00654803">
      <w:pPr>
        <w:pStyle w:val="Textoindependiente"/>
        <w:rPr>
          <w:rFonts w:ascii="Calibri" w:hAnsi="Calibri" w:cs="Arial"/>
          <w:color w:val="7F7F7F" w:themeColor="text1" w:themeTint="80"/>
          <w:sz w:val="26"/>
          <w:szCs w:val="26"/>
        </w:rPr>
      </w:pPr>
    </w:p>
    <w:p w:rsidR="00654803" w:rsidRPr="00CF6D39" w:rsidRDefault="00654803" w:rsidP="00654803">
      <w:pPr>
        <w:pStyle w:val="Textoindependiente"/>
        <w:rPr>
          <w:rFonts w:ascii="Calibri" w:hAnsi="Calibri" w:cs="Arial"/>
          <w:b/>
          <w:bCs/>
          <w:color w:val="7F7F7F" w:themeColor="text1" w:themeTint="80"/>
          <w:sz w:val="26"/>
          <w:szCs w:val="26"/>
        </w:rPr>
      </w:pPr>
      <w:r w:rsidRPr="00CF6D39">
        <w:rPr>
          <w:rFonts w:ascii="Calibri" w:hAnsi="Calibri" w:cs="Arial"/>
          <w:color w:val="7F7F7F" w:themeColor="text1" w:themeTint="80"/>
          <w:sz w:val="26"/>
          <w:szCs w:val="26"/>
        </w:rPr>
        <w:tab/>
        <w:t xml:space="preserve">En su oportunidad, archívese este expediente, como asunto totalmente concluido y dése de baja en el Libro de Registros que se lleva para tal efecto. . . . </w:t>
      </w:r>
    </w:p>
    <w:p w:rsidR="00654803" w:rsidRPr="00CF6D39" w:rsidRDefault="00654803" w:rsidP="00654803">
      <w:pPr>
        <w:pStyle w:val="Textoindependiente"/>
        <w:rPr>
          <w:rFonts w:ascii="Calibri" w:hAnsi="Calibri" w:cs="Arial"/>
          <w:color w:val="7F7F7F" w:themeColor="text1" w:themeTint="80"/>
          <w:sz w:val="26"/>
          <w:szCs w:val="26"/>
        </w:rPr>
      </w:pPr>
    </w:p>
    <w:p w:rsidR="00654803" w:rsidRPr="00CF6D39" w:rsidRDefault="00654803" w:rsidP="00654803">
      <w:pPr>
        <w:pStyle w:val="Textoindependiente"/>
        <w:ind w:firstLine="708"/>
        <w:rPr>
          <w:rFonts w:ascii="Calibri" w:hAnsi="Calibri"/>
          <w:color w:val="7F7F7F" w:themeColor="text1" w:themeTint="80"/>
          <w:sz w:val="26"/>
          <w:szCs w:val="26"/>
        </w:rPr>
      </w:pPr>
      <w:r w:rsidRPr="00CF6D39">
        <w:rPr>
          <w:rFonts w:ascii="Calibri" w:hAnsi="Calibri"/>
          <w:color w:val="7F7F7F" w:themeColor="text1" w:themeTint="80"/>
          <w:sz w:val="26"/>
          <w:szCs w:val="26"/>
        </w:rPr>
        <w:t xml:space="preserve">Así lo resolvió y firma el Licenciado </w:t>
      </w:r>
      <w:r w:rsidRPr="00CF6D39">
        <w:rPr>
          <w:rFonts w:ascii="Calibri" w:hAnsi="Calibri"/>
          <w:b/>
          <w:bCs/>
          <w:color w:val="7F7F7F" w:themeColor="text1" w:themeTint="80"/>
          <w:sz w:val="26"/>
          <w:szCs w:val="26"/>
        </w:rPr>
        <w:t>Ernesto Alejandro Mora Álvarez</w:t>
      </w:r>
      <w:r w:rsidRPr="00CF6D39">
        <w:rPr>
          <w:rFonts w:ascii="Calibri" w:hAnsi="Calibri"/>
          <w:color w:val="7F7F7F" w:themeColor="text1" w:themeTint="80"/>
          <w:sz w:val="26"/>
          <w:szCs w:val="26"/>
        </w:rPr>
        <w:t xml:space="preserve">, Juez Segundo Administrativo Municipal de León, Guanajuato, quien actúa asistido en forma legal con Secretaria de Estudio y Cuenta, Licenciada </w:t>
      </w:r>
      <w:r w:rsidRPr="00CF6D39">
        <w:rPr>
          <w:rFonts w:ascii="Calibri" w:hAnsi="Calibri"/>
          <w:b/>
          <w:bCs/>
          <w:color w:val="7F7F7F" w:themeColor="text1" w:themeTint="80"/>
          <w:sz w:val="26"/>
          <w:szCs w:val="26"/>
        </w:rPr>
        <w:t>María del Rocío Villanueva Sánchez</w:t>
      </w:r>
      <w:r w:rsidRPr="00CF6D39">
        <w:rPr>
          <w:rFonts w:ascii="Calibri" w:hAnsi="Calibri"/>
          <w:color w:val="7F7F7F" w:themeColor="text1" w:themeTint="80"/>
          <w:sz w:val="26"/>
          <w:szCs w:val="26"/>
        </w:rPr>
        <w:t xml:space="preserve">, quien da fe. . . . . . . . . . . . . . . . . . . . . . . . . . . . . . . . . . . . . . . . . .  </w:t>
      </w:r>
    </w:p>
    <w:p w:rsidR="00654803" w:rsidRPr="00654803" w:rsidRDefault="00654803" w:rsidP="00CF6BCD">
      <w:pPr>
        <w:jc w:val="both"/>
        <w:rPr>
          <w:rFonts w:ascii="Calibri" w:hAnsi="Calibri" w:cs="Calibri"/>
          <w:b/>
          <w:bCs/>
          <w:i/>
          <w:iCs/>
          <w:color w:val="7F7F7F" w:themeColor="text1" w:themeTint="80"/>
          <w:sz w:val="26"/>
          <w:szCs w:val="26"/>
          <w:lang w:val="es-MX"/>
        </w:rPr>
      </w:pPr>
    </w:p>
    <w:sectPr w:rsidR="00654803" w:rsidRPr="00654803" w:rsidSect="00313501">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5B5" w:rsidRDefault="00FC55B5">
      <w:r>
        <w:separator/>
      </w:r>
    </w:p>
  </w:endnote>
  <w:endnote w:type="continuationSeparator" w:id="1">
    <w:p w:rsidR="00FC55B5" w:rsidRDefault="00FC5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5B5" w:rsidRDefault="00FC55B5">
      <w:r>
        <w:separator/>
      </w:r>
    </w:p>
  </w:footnote>
  <w:footnote w:type="continuationSeparator" w:id="1">
    <w:p w:rsidR="00FC55B5" w:rsidRDefault="00FC5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C0" w:rsidRDefault="006A2902">
    <w:pPr>
      <w:pStyle w:val="Encabezado"/>
      <w:framePr w:wrap="around" w:vAnchor="text" w:hAnchor="margin" w:xAlign="center" w:y="1"/>
      <w:rPr>
        <w:rStyle w:val="Nmerodepgina"/>
      </w:rPr>
    </w:pPr>
    <w:r>
      <w:rPr>
        <w:rStyle w:val="Nmerodepgina"/>
      </w:rPr>
      <w:fldChar w:fldCharType="begin"/>
    </w:r>
    <w:r w:rsidR="00596369">
      <w:rPr>
        <w:rStyle w:val="Nmerodepgina"/>
      </w:rPr>
      <w:instrText xml:space="preserve">PAGE  </w:instrText>
    </w:r>
    <w:r>
      <w:rPr>
        <w:rStyle w:val="Nmerodepgina"/>
      </w:rPr>
      <w:fldChar w:fldCharType="end"/>
    </w:r>
  </w:p>
  <w:p w:rsidR="00DE47C0" w:rsidRDefault="00FC55B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C0" w:rsidRDefault="006A2902">
    <w:pPr>
      <w:pStyle w:val="Encabezado"/>
      <w:framePr w:wrap="around" w:vAnchor="text" w:hAnchor="margin" w:xAlign="center" w:y="1"/>
      <w:rPr>
        <w:rStyle w:val="Nmerodepgina"/>
      </w:rPr>
    </w:pPr>
    <w:r>
      <w:rPr>
        <w:rStyle w:val="Nmerodepgina"/>
      </w:rPr>
      <w:fldChar w:fldCharType="begin"/>
    </w:r>
    <w:r w:rsidR="00596369">
      <w:rPr>
        <w:rStyle w:val="Nmerodepgina"/>
      </w:rPr>
      <w:instrText xml:space="preserve">PAGE  </w:instrText>
    </w:r>
    <w:r>
      <w:rPr>
        <w:rStyle w:val="Nmerodepgina"/>
      </w:rPr>
      <w:fldChar w:fldCharType="separate"/>
    </w:r>
    <w:r w:rsidR="008E41CB">
      <w:rPr>
        <w:rStyle w:val="Nmerodepgina"/>
        <w:noProof/>
      </w:rPr>
      <w:t>2</w:t>
    </w:r>
    <w:r>
      <w:rPr>
        <w:rStyle w:val="Nmerodepgina"/>
      </w:rPr>
      <w:fldChar w:fldCharType="end"/>
    </w:r>
  </w:p>
  <w:p w:rsidR="00DE47C0" w:rsidRDefault="00FC55B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F3372"/>
    <w:multiLevelType w:val="hybridMultilevel"/>
    <w:tmpl w:val="8782153E"/>
    <w:lvl w:ilvl="0" w:tplc="173E2DD4">
      <w:start w:val="1"/>
      <w:numFmt w:val="upperRoman"/>
      <w:lvlText w:val="%1."/>
      <w:lvlJc w:val="left"/>
      <w:pPr>
        <w:tabs>
          <w:tab w:val="num" w:pos="1428"/>
        </w:tabs>
        <w:ind w:left="1428" w:hanging="720"/>
      </w:pPr>
      <w:rPr>
        <w:rFonts w:hint="default"/>
        <w:i/>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defaultTabStop w:val="708"/>
  <w:hyphenationZone w:val="425"/>
  <w:characterSpacingControl w:val="doNotCompress"/>
  <w:footnotePr>
    <w:footnote w:id="0"/>
    <w:footnote w:id="1"/>
  </w:footnotePr>
  <w:endnotePr>
    <w:endnote w:id="0"/>
    <w:endnote w:id="1"/>
  </w:endnotePr>
  <w:compat/>
  <w:rsids>
    <w:rsidRoot w:val="00CF6BCD"/>
    <w:rsid w:val="001A5BDD"/>
    <w:rsid w:val="001B4FC3"/>
    <w:rsid w:val="001C51BE"/>
    <w:rsid w:val="002065F9"/>
    <w:rsid w:val="002451A3"/>
    <w:rsid w:val="002517E9"/>
    <w:rsid w:val="00254812"/>
    <w:rsid w:val="002A0FDD"/>
    <w:rsid w:val="002E7557"/>
    <w:rsid w:val="002F3E0C"/>
    <w:rsid w:val="00313501"/>
    <w:rsid w:val="00446C21"/>
    <w:rsid w:val="004556D4"/>
    <w:rsid w:val="004E6105"/>
    <w:rsid w:val="005246A3"/>
    <w:rsid w:val="00526252"/>
    <w:rsid w:val="00545C7C"/>
    <w:rsid w:val="00580BB2"/>
    <w:rsid w:val="00591B13"/>
    <w:rsid w:val="00596369"/>
    <w:rsid w:val="005A5B1F"/>
    <w:rsid w:val="005D32BD"/>
    <w:rsid w:val="005D6247"/>
    <w:rsid w:val="00601F9E"/>
    <w:rsid w:val="00603811"/>
    <w:rsid w:val="0063265D"/>
    <w:rsid w:val="006414D7"/>
    <w:rsid w:val="00654803"/>
    <w:rsid w:val="0066127F"/>
    <w:rsid w:val="00692819"/>
    <w:rsid w:val="006A0B04"/>
    <w:rsid w:val="006A2902"/>
    <w:rsid w:val="006C5929"/>
    <w:rsid w:val="006C5D09"/>
    <w:rsid w:val="006E6536"/>
    <w:rsid w:val="007074BC"/>
    <w:rsid w:val="007568B0"/>
    <w:rsid w:val="007827C0"/>
    <w:rsid w:val="007A4F2E"/>
    <w:rsid w:val="007B622D"/>
    <w:rsid w:val="007C2F35"/>
    <w:rsid w:val="007C5D13"/>
    <w:rsid w:val="007E5DE8"/>
    <w:rsid w:val="0080264B"/>
    <w:rsid w:val="00825D03"/>
    <w:rsid w:val="00887111"/>
    <w:rsid w:val="00895466"/>
    <w:rsid w:val="008A25EF"/>
    <w:rsid w:val="008B000C"/>
    <w:rsid w:val="008D2AE8"/>
    <w:rsid w:val="008D711E"/>
    <w:rsid w:val="008E15FF"/>
    <w:rsid w:val="008E1E1A"/>
    <w:rsid w:val="008E324F"/>
    <w:rsid w:val="008E41CB"/>
    <w:rsid w:val="009E0C82"/>
    <w:rsid w:val="00A353A3"/>
    <w:rsid w:val="00A42FB9"/>
    <w:rsid w:val="00A90EBC"/>
    <w:rsid w:val="00AD746F"/>
    <w:rsid w:val="00AE0F47"/>
    <w:rsid w:val="00AE7B8A"/>
    <w:rsid w:val="00AF3EFA"/>
    <w:rsid w:val="00BA28CA"/>
    <w:rsid w:val="00C440C9"/>
    <w:rsid w:val="00C84D44"/>
    <w:rsid w:val="00CE4C2F"/>
    <w:rsid w:val="00CF6BCD"/>
    <w:rsid w:val="00D72E64"/>
    <w:rsid w:val="00DE5233"/>
    <w:rsid w:val="00DE60B1"/>
    <w:rsid w:val="00E05C3B"/>
    <w:rsid w:val="00E56848"/>
    <w:rsid w:val="00E670D1"/>
    <w:rsid w:val="00EA6D5F"/>
    <w:rsid w:val="00ED545A"/>
    <w:rsid w:val="00EF225D"/>
    <w:rsid w:val="00F0327A"/>
    <w:rsid w:val="00F36D89"/>
    <w:rsid w:val="00F65770"/>
    <w:rsid w:val="00F6585B"/>
    <w:rsid w:val="00FC55B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BC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CF6BC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F6BCD"/>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CF6BCD"/>
    <w:pPr>
      <w:jc w:val="both"/>
    </w:pPr>
    <w:rPr>
      <w:lang w:val="es-MX"/>
    </w:rPr>
  </w:style>
  <w:style w:type="character" w:customStyle="1" w:styleId="TextoindependienteCar">
    <w:name w:val="Texto independiente Car"/>
    <w:basedOn w:val="Fuentedeprrafopredeter"/>
    <w:link w:val="Textoindependiente"/>
    <w:rsid w:val="00CF6BCD"/>
    <w:rPr>
      <w:rFonts w:ascii="Times New Roman" w:eastAsia="Calibri" w:hAnsi="Times New Roman" w:cs="Times New Roman"/>
      <w:sz w:val="24"/>
      <w:szCs w:val="24"/>
      <w:lang w:eastAsia="es-ES"/>
    </w:rPr>
  </w:style>
  <w:style w:type="character" w:styleId="Nmerodepgina">
    <w:name w:val="page number"/>
    <w:semiHidden/>
    <w:rsid w:val="00CF6BCD"/>
    <w:rPr>
      <w:rFonts w:cs="Times New Roman"/>
    </w:rPr>
  </w:style>
  <w:style w:type="paragraph" w:styleId="Encabezado">
    <w:name w:val="header"/>
    <w:basedOn w:val="Normal"/>
    <w:link w:val="EncabezadoCar"/>
    <w:semiHidden/>
    <w:rsid w:val="00CF6BCD"/>
    <w:pPr>
      <w:tabs>
        <w:tab w:val="center" w:pos="4419"/>
        <w:tab w:val="right" w:pos="8838"/>
      </w:tabs>
    </w:pPr>
    <w:rPr>
      <w:lang w:val="es-MX"/>
    </w:rPr>
  </w:style>
  <w:style w:type="character" w:customStyle="1" w:styleId="EncabezadoCar">
    <w:name w:val="Encabezado Car"/>
    <w:basedOn w:val="Fuentedeprrafopredeter"/>
    <w:link w:val="Encabezado"/>
    <w:semiHidden/>
    <w:rsid w:val="00CF6BCD"/>
    <w:rPr>
      <w:rFonts w:ascii="Times New Roman" w:eastAsia="Calibri" w:hAnsi="Times New Roman" w:cs="Times New Roman"/>
      <w:sz w:val="24"/>
      <w:szCs w:val="24"/>
      <w:lang w:eastAsia="es-ES"/>
    </w:rPr>
  </w:style>
  <w:style w:type="paragraph" w:customStyle="1" w:styleId="Normal0">
    <w:name w:val="[Normal]"/>
    <w:rsid w:val="00CF6BCD"/>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65480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54803"/>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692819"/>
    <w:rPr>
      <w:b/>
      <w:bCs/>
    </w:rPr>
  </w:style>
  <w:style w:type="character" w:styleId="nfasis">
    <w:name w:val="Emphasis"/>
    <w:basedOn w:val="Fuentedeprrafopredeter"/>
    <w:uiPriority w:val="20"/>
    <w:qFormat/>
    <w:rsid w:val="006928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BC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CF6BC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F6BCD"/>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CF6BCD"/>
    <w:pPr>
      <w:jc w:val="both"/>
    </w:pPr>
    <w:rPr>
      <w:lang w:val="es-MX"/>
    </w:rPr>
  </w:style>
  <w:style w:type="character" w:customStyle="1" w:styleId="TextoindependienteCar">
    <w:name w:val="Texto independiente Car"/>
    <w:basedOn w:val="Fuentedeprrafopredeter"/>
    <w:link w:val="Textoindependiente"/>
    <w:rsid w:val="00CF6BCD"/>
    <w:rPr>
      <w:rFonts w:ascii="Times New Roman" w:eastAsia="Calibri" w:hAnsi="Times New Roman" w:cs="Times New Roman"/>
      <w:sz w:val="24"/>
      <w:szCs w:val="24"/>
      <w:lang w:eastAsia="es-ES"/>
    </w:rPr>
  </w:style>
  <w:style w:type="character" w:styleId="Nmerodepgina">
    <w:name w:val="page number"/>
    <w:semiHidden/>
    <w:rsid w:val="00CF6BCD"/>
    <w:rPr>
      <w:rFonts w:cs="Times New Roman"/>
    </w:rPr>
  </w:style>
  <w:style w:type="paragraph" w:styleId="Encabezado">
    <w:name w:val="header"/>
    <w:basedOn w:val="Normal"/>
    <w:link w:val="EncabezadoCar"/>
    <w:semiHidden/>
    <w:rsid w:val="00CF6BCD"/>
    <w:pPr>
      <w:tabs>
        <w:tab w:val="center" w:pos="4419"/>
        <w:tab w:val="right" w:pos="8838"/>
      </w:tabs>
    </w:pPr>
    <w:rPr>
      <w:lang w:val="es-MX"/>
    </w:rPr>
  </w:style>
  <w:style w:type="character" w:customStyle="1" w:styleId="EncabezadoCar">
    <w:name w:val="Encabezado Car"/>
    <w:basedOn w:val="Fuentedeprrafopredeter"/>
    <w:link w:val="Encabezado"/>
    <w:semiHidden/>
    <w:rsid w:val="00CF6BCD"/>
    <w:rPr>
      <w:rFonts w:ascii="Times New Roman" w:eastAsia="Calibri" w:hAnsi="Times New Roman" w:cs="Times New Roman"/>
      <w:sz w:val="24"/>
      <w:szCs w:val="24"/>
      <w:lang w:eastAsia="es-ES"/>
    </w:rPr>
  </w:style>
  <w:style w:type="paragraph" w:customStyle="1" w:styleId="Normal0">
    <w:name w:val="[Normal]"/>
    <w:rsid w:val="00CF6BCD"/>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65480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54803"/>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692819"/>
    <w:rPr>
      <w:b/>
      <w:bCs/>
    </w:rPr>
  </w:style>
  <w:style w:type="character" w:styleId="nfasis">
    <w:name w:val="Emphasis"/>
    <w:basedOn w:val="Fuentedeprrafopredeter"/>
    <w:uiPriority w:val="20"/>
    <w:qFormat/>
    <w:rsid w:val="00692819"/>
    <w:rPr>
      <w:i/>
      <w:iCs/>
    </w:rPr>
  </w:style>
</w:styles>
</file>

<file path=word/webSettings.xml><?xml version="1.0" encoding="utf-8"?>
<w:webSettings xmlns:r="http://schemas.openxmlformats.org/officeDocument/2006/relationships" xmlns:w="http://schemas.openxmlformats.org/wordprocessingml/2006/main">
  <w:divs>
    <w:div w:id="97760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EBA15-9248-45E1-A23F-545A2802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1881</Words>
  <Characters>10349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dcterms:created xsi:type="dcterms:W3CDTF">2017-12-18T19:38:00Z</dcterms:created>
  <dcterms:modified xsi:type="dcterms:W3CDTF">2017-12-18T19:38:00Z</dcterms:modified>
</cp:coreProperties>
</file>